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5647C2" w:rsidP="001D5633">
      <w:pPr>
        <w:pStyle w:val="61"/>
      </w:pPr>
      <w:r>
        <w:t>Таб</w:t>
      </w:r>
      <w:r w:rsidR="006B4955">
        <w:t>лица 27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A70CFA" w:rsidP="001D5633">
      <w:pPr>
        <w:pStyle w:val="71"/>
      </w:pPr>
      <w:r w:rsidRPr="00A505A9">
        <w:t>ОБЪЕКТЫ МЕСТНОГО ЗНАЧЕНИЯ В ОБЛАСТИ ПРЕДУПРЕЖДЕНИЯ ЧРЕЗВЫЧАЙНЫХ СИТУАЦИЙ, СТИХИЙНЫХ БЕДСТВИЙ, ЭПИДЕМИЙ И ЛИКВИДАЦИИ ИХ ПОСЛЕДСТВИЙ</w:t>
      </w:r>
    </w:p>
    <w:tbl>
      <w:tblPr>
        <w:tblStyle w:val="aff1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2554"/>
        <w:gridCol w:w="2028"/>
        <w:gridCol w:w="2554"/>
        <w:gridCol w:w="786"/>
        <w:gridCol w:w="786"/>
        <w:gridCol w:w="2028"/>
        <w:gridCol w:w="1834"/>
        <w:gridCol w:w="1546"/>
      </w:tblGrid>
      <w:tr w:rsidR="00DE053C" w:rsidRPr="00986135" w:rsidTr="00AD6514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A70CFA">
            <w:pPr>
              <w:pStyle w:val="21"/>
            </w:pPr>
            <w:r>
              <w:rPr>
                <w:rFonts w:cs="Times New Roman"/>
              </w:rPr>
              <w:t>№</w:t>
            </w:r>
            <w:r>
              <w:t xml:space="preserve"> п/п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A70CFA" w:rsidRPr="00986135" w:rsidTr="00AD6514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A70CFA">
            <w:pPr>
              <w:pStyle w:val="21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1"/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</w:tr>
      <w:tr w:rsidR="00DE053C" w:rsidRPr="00A70CFA" w:rsidTr="00AD651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A70CFA" w:rsidRDefault="00A70CFA" w:rsidP="00A70CFA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A70CFA" w:rsidRDefault="00A70CFA" w:rsidP="00A70CFA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A70CFA" w:rsidRDefault="00A70CFA" w:rsidP="00A70CFA">
            <w:pPr>
              <w:pStyle w:val="23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0CFA" w:rsidRPr="00A70CFA" w:rsidRDefault="00A70CFA" w:rsidP="00A70CFA">
            <w:pPr>
              <w:pStyle w:val="23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70CFA" w:rsidRPr="00986135" w:rsidTr="00AD651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A70CFA">
            <w:pPr>
              <w:pStyle w:val="22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2"/>
            </w:pPr>
            <w:r w:rsidRPr="00986135">
              <w:t>Административные здания</w:t>
            </w:r>
            <w:r>
              <w:t xml:space="preserve"> *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По заданию на проектирование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A70CFA" w:rsidRPr="00986135" w:rsidTr="00AD651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A70CFA" w:rsidRDefault="00A70CFA" w:rsidP="005300D8">
            <w:pPr>
              <w:pStyle w:val="22"/>
              <w:jc w:val="center"/>
              <w:rPr>
                <w:b/>
              </w:rPr>
            </w:pPr>
          </w:p>
          <w:p w:rsidR="00A70CFA" w:rsidRDefault="00A70CFA" w:rsidP="005300D8">
            <w:pPr>
              <w:pStyle w:val="22"/>
              <w:jc w:val="center"/>
              <w:rPr>
                <w:b/>
              </w:rPr>
            </w:pPr>
          </w:p>
          <w:p w:rsidR="00A70CFA" w:rsidRDefault="00A70CFA" w:rsidP="005300D8">
            <w:pPr>
              <w:pStyle w:val="22"/>
              <w:jc w:val="center"/>
              <w:rPr>
                <w:b/>
              </w:rPr>
            </w:pPr>
          </w:p>
          <w:p w:rsidR="00A70CFA" w:rsidRDefault="00A70CFA" w:rsidP="005300D8">
            <w:pPr>
              <w:pStyle w:val="22"/>
              <w:jc w:val="center"/>
              <w:rPr>
                <w:b/>
              </w:rPr>
            </w:pPr>
          </w:p>
          <w:p w:rsidR="00A70CFA" w:rsidRDefault="00A70CFA" w:rsidP="005300D8">
            <w:pPr>
              <w:pStyle w:val="22"/>
              <w:jc w:val="center"/>
              <w:rPr>
                <w:b/>
              </w:rPr>
            </w:pPr>
          </w:p>
          <w:p w:rsidR="00A70CFA" w:rsidRDefault="00A70CFA" w:rsidP="005300D8">
            <w:pPr>
              <w:pStyle w:val="22"/>
              <w:jc w:val="center"/>
              <w:rPr>
                <w:b/>
              </w:rPr>
            </w:pPr>
          </w:p>
          <w:p w:rsidR="00A70CFA" w:rsidRDefault="00A70CFA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70CFA" w:rsidRDefault="00A70CFA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70CFA" w:rsidRDefault="00A70CFA" w:rsidP="005300D8">
            <w:pPr>
              <w:pStyle w:val="23"/>
              <w:rPr>
                <w:b/>
              </w:rPr>
            </w:pP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70CFA" w:rsidRDefault="00A70CFA" w:rsidP="005300D8">
            <w:pPr>
              <w:pStyle w:val="23"/>
              <w:rPr>
                <w:b/>
              </w:rPr>
            </w:pPr>
          </w:p>
        </w:tc>
      </w:tr>
      <w:tr w:rsidR="00DE053C" w:rsidRPr="00986135" w:rsidTr="00AD6514">
        <w:trPr>
          <w:trHeight w:val="57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A70CFA" w:rsidRDefault="00A70CFA" w:rsidP="00A70CFA">
            <w:pPr>
              <w:pStyle w:val="22"/>
              <w:rPr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70CFA" w:rsidRDefault="00A70CFA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70CFA" w:rsidRDefault="00A70CFA" w:rsidP="005300D8">
            <w:pPr>
              <w:pStyle w:val="23"/>
              <w:rPr>
                <w:b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70CFA" w:rsidRDefault="00A70CFA" w:rsidP="005300D8">
            <w:pPr>
              <w:pStyle w:val="23"/>
              <w:rPr>
                <w:b/>
              </w:rPr>
            </w:pPr>
          </w:p>
        </w:tc>
      </w:tr>
      <w:tr w:rsidR="00DE053C" w:rsidRPr="00986135" w:rsidTr="00AD651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A70CFA" w:rsidRDefault="00A70CFA" w:rsidP="005300D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A70CFA" w:rsidRDefault="00A70CFA" w:rsidP="005300D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A70CFA" w:rsidRDefault="00A70CFA" w:rsidP="005300D8">
            <w:pPr>
              <w:pStyle w:val="23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0CFA" w:rsidRPr="00A70CFA" w:rsidRDefault="00A70CFA" w:rsidP="005300D8">
            <w:pPr>
              <w:pStyle w:val="23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70CFA" w:rsidRPr="00986135" w:rsidTr="00AD6514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A70CFA">
            <w:pPr>
              <w:pStyle w:val="22"/>
              <w:jc w:val="center"/>
            </w:pPr>
            <w:r>
              <w:t>2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2"/>
            </w:pPr>
            <w:r w:rsidRPr="00986135">
              <w:t>Защитные сооружения гражданской обороны (убежища, противорадиационные укрытия, укрытия)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2"/>
            </w:pPr>
            <w:r w:rsidRPr="00986135">
              <w:t>Уровень обеспеченности, мест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1000 мест на 1000 чел. населения, оставшегося после эвакуации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2"/>
            </w:pPr>
            <w:r w:rsidRPr="00986135">
              <w:t>Радиус сбора укрываемых, м **</w:t>
            </w:r>
            <w:r>
              <w:t>*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1000</w:t>
            </w:r>
            <w:r>
              <w:t xml:space="preserve">; </w:t>
            </w:r>
            <w:r w:rsidRPr="00986135">
              <w:t>территории, отнесенные к особой группе по гражданской обороне</w:t>
            </w:r>
            <w:r>
              <w:t xml:space="preserve"> – </w:t>
            </w:r>
            <w:r w:rsidRPr="00986135">
              <w:t>500</w:t>
            </w:r>
          </w:p>
        </w:tc>
      </w:tr>
      <w:tr w:rsidR="00A70CFA" w:rsidRPr="00986135" w:rsidTr="00AD6514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A70CFA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2"/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2"/>
            </w:pPr>
            <w:r w:rsidRPr="00986135">
              <w:t>Норма площади пола основных помещений, 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на одного укрываемого</w:t>
            </w:r>
            <w:r>
              <w:t xml:space="preserve"> *</w:t>
            </w:r>
            <w:r w:rsidRPr="00986135">
              <w:t>*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2"/>
            </w:pPr>
            <w:r w:rsidRPr="00986135">
              <w:t>убежища, противорадиационные укрытия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0,6 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при одноярусном, 0,5 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при двухъярусном и 0,4 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при трехъярусном расположении нар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</w:p>
        </w:tc>
      </w:tr>
      <w:tr w:rsidR="00A70CFA" w:rsidRPr="00986135" w:rsidTr="00AD6514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A70CFA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2"/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2"/>
            </w:pPr>
            <w:r w:rsidRPr="00986135">
              <w:t>укрытия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0,6 м</w:t>
            </w:r>
            <w:r w:rsidRPr="00986135">
              <w:rPr>
                <w:vertAlign w:val="superscript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</w:p>
        </w:tc>
      </w:tr>
      <w:tr w:rsidR="00A70CFA" w:rsidRPr="00986135" w:rsidTr="00AD651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A70CFA">
            <w:pPr>
              <w:pStyle w:val="22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2"/>
            </w:pPr>
            <w:r w:rsidRPr="00986135">
              <w:t>Сооружения по защите территорий от чрезвычайных ситуаций природного и техногенного характера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100</w:t>
            </w:r>
            <w:r>
              <w:t xml:space="preserve"> %</w:t>
            </w:r>
            <w:r w:rsidRPr="00986135">
              <w:t xml:space="preserve"> территории, требующей защиты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A70CFA" w:rsidRPr="00986135" w:rsidTr="00AD651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A70CFA">
            <w:pPr>
              <w:pStyle w:val="22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2"/>
            </w:pPr>
            <w:r w:rsidRPr="00986135">
              <w:t>Берегозащитные сооружения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100</w:t>
            </w:r>
            <w:r>
              <w:t xml:space="preserve"> %</w:t>
            </w:r>
            <w:r w:rsidRPr="00986135">
              <w:t xml:space="preserve"> береговой линии, требующей защиты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A70CFA" w:rsidRPr="00986135" w:rsidTr="00AD651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A70CFA" w:rsidRDefault="00A70CFA" w:rsidP="005300D8">
            <w:pPr>
              <w:pStyle w:val="22"/>
              <w:jc w:val="center"/>
              <w:rPr>
                <w:b/>
              </w:rPr>
            </w:pPr>
          </w:p>
          <w:p w:rsidR="00A70CFA" w:rsidRDefault="00A70CFA" w:rsidP="005300D8">
            <w:pPr>
              <w:pStyle w:val="22"/>
              <w:jc w:val="center"/>
              <w:rPr>
                <w:b/>
              </w:rPr>
            </w:pPr>
          </w:p>
          <w:p w:rsidR="00AD6514" w:rsidRDefault="00AD6514" w:rsidP="005300D8">
            <w:pPr>
              <w:pStyle w:val="22"/>
              <w:jc w:val="center"/>
              <w:rPr>
                <w:b/>
              </w:rPr>
            </w:pPr>
          </w:p>
          <w:p w:rsidR="00A70CFA" w:rsidRDefault="00A70CFA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70CFA" w:rsidRDefault="00A70CFA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70CFA" w:rsidRDefault="00A70CFA" w:rsidP="005300D8">
            <w:pPr>
              <w:pStyle w:val="23"/>
              <w:rPr>
                <w:b/>
              </w:rPr>
            </w:pP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70CFA" w:rsidRDefault="00A70CFA" w:rsidP="005300D8">
            <w:pPr>
              <w:pStyle w:val="23"/>
              <w:rPr>
                <w:b/>
              </w:rPr>
            </w:pPr>
          </w:p>
        </w:tc>
      </w:tr>
      <w:tr w:rsidR="00A70CFA" w:rsidRPr="00986135" w:rsidTr="00AD6514">
        <w:trPr>
          <w:trHeight w:val="57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A70CFA" w:rsidRDefault="00A70CFA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70CFA" w:rsidRDefault="00A70CFA" w:rsidP="005300D8">
            <w:pPr>
              <w:pStyle w:val="22"/>
              <w:jc w:val="center"/>
              <w:rPr>
                <w:b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70CFA" w:rsidRDefault="00A70CFA" w:rsidP="005300D8">
            <w:pPr>
              <w:pStyle w:val="23"/>
              <w:rPr>
                <w:b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70CFA" w:rsidRDefault="00A70CFA" w:rsidP="005300D8">
            <w:pPr>
              <w:pStyle w:val="23"/>
              <w:rPr>
                <w:b/>
              </w:rPr>
            </w:pPr>
          </w:p>
        </w:tc>
      </w:tr>
      <w:tr w:rsidR="00A70CFA" w:rsidRPr="00986135" w:rsidTr="00AD651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A70CFA" w:rsidRDefault="00A70CFA" w:rsidP="005300D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A70CFA" w:rsidRDefault="00A70CFA" w:rsidP="005300D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FA" w:rsidRPr="00A70CFA" w:rsidRDefault="00A70CFA" w:rsidP="005300D8">
            <w:pPr>
              <w:pStyle w:val="23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0CFA" w:rsidRPr="00A70CFA" w:rsidRDefault="00A70CFA" w:rsidP="005300D8">
            <w:pPr>
              <w:pStyle w:val="23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70CFA" w:rsidRPr="00986135" w:rsidTr="00AD6514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986135" w:rsidRDefault="00A70CFA" w:rsidP="00A70CFA">
            <w:pPr>
              <w:pStyle w:val="22"/>
              <w:jc w:val="center"/>
            </w:pPr>
            <w:r>
              <w:t>5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2"/>
            </w:pPr>
            <w:r w:rsidRPr="00986135">
              <w:t>Подразделения пожарной охраны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Уровень обеспеченности, количество пожарных депо</w:t>
            </w:r>
            <w:r>
              <w:t>/</w:t>
            </w:r>
            <w:r w:rsidRPr="00986135">
              <w:t>пожарных автомобилей на соответствующее количество выездов для населенных пунктов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Площадь территории населенного пункта, тыс. га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Численность населения населенного пункта, тыс. чел.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Количество пожарных депо</w:t>
            </w:r>
            <w:r>
              <w:t>/</w:t>
            </w:r>
            <w:r w:rsidRPr="00986135">
              <w:t>пожарных автомобилей на соответствующее количество выездов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2"/>
            </w:pPr>
            <w:r w:rsidRPr="00986135">
              <w:t>Время прибытия первого подразделения к месту вызова, мин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10</w:t>
            </w:r>
          </w:p>
        </w:tc>
      </w:tr>
      <w:tr w:rsidR="00A70CFA" w:rsidRPr="00986135" w:rsidTr="00AD6514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986135" w:rsidRDefault="00A70CFA" w:rsidP="00A70CFA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>
              <w:t>12-14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>
              <w:t>30-50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FF256F" w:rsidRDefault="00A70CFA" w:rsidP="005300D8">
            <w:pPr>
              <w:pStyle w:val="23"/>
            </w:pPr>
            <w:r w:rsidRPr="00FF256F">
              <w:t>3 / (1 × 8 + 1 × 6 + 1 × 4)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</w:p>
        </w:tc>
      </w:tr>
      <w:tr w:rsidR="00A70CFA" w:rsidRPr="00986135" w:rsidTr="00AD651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986135" w:rsidRDefault="00A70CFA" w:rsidP="00A70CFA">
            <w:pPr>
              <w:pStyle w:val="22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2"/>
            </w:pPr>
            <w:r w:rsidRPr="00986135">
              <w:t>Склады материально-технических, продовольственных, медицинских запасов и иных средств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По заданию на проектирование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0CFA" w:rsidRPr="00986135" w:rsidRDefault="00A70CFA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A70CFA" w:rsidRPr="00986135" w:rsidTr="00AD6514">
        <w:trPr>
          <w:trHeight w:val="57"/>
        </w:trPr>
        <w:tc>
          <w:tcPr>
            <w:tcW w:w="0" w:type="auto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0CFA" w:rsidRPr="00986135" w:rsidRDefault="00A70CFA" w:rsidP="005300D8">
            <w:pPr>
              <w:pStyle w:val="22"/>
            </w:pPr>
          </w:p>
          <w:p w:rsidR="00A70CFA" w:rsidRDefault="00A70CFA" w:rsidP="005300D8">
            <w:pPr>
              <w:pStyle w:val="31"/>
            </w:pPr>
            <w:r>
              <w:t>*</w:t>
            </w:r>
            <w:r w:rsidRPr="00986135">
              <w:t xml:space="preserve"> </w:t>
            </w:r>
            <w:r>
              <w:t>В</w:t>
            </w:r>
            <w:r w:rsidRPr="00986135">
              <w:t xml:space="preserve"> том числе для размещения сил гражданской обороны, территориальной обороны, сил и средств защиты населения и территории от чрезвычайных ситуаций природного и техногенного характера, аварийно-спасательных служб, в том числе поисково-спасательных, лабораторий, образовательных организаций по подготовке спасателей, объектов по подготовке собак и др., противопожарной службы</w:t>
            </w:r>
          </w:p>
          <w:p w:rsidR="00A70CFA" w:rsidRPr="00986135" w:rsidRDefault="00A70CFA" w:rsidP="005300D8">
            <w:pPr>
              <w:pStyle w:val="31"/>
            </w:pPr>
            <w:r w:rsidRPr="00986135">
              <w:t>*</w:t>
            </w:r>
            <w:r>
              <w:t>*</w:t>
            </w:r>
            <w:r w:rsidRPr="00986135">
              <w:t xml:space="preserve"> Норма площади помещений вспомогательного назначения, а также основных помещений противорадиационных </w:t>
            </w:r>
            <w:r w:rsidRPr="00986135">
              <w:lastRenderedPageBreak/>
              <w:t xml:space="preserve">укрытий, размещаемых в учреждениях здравоохранения, общеобразовательных школах и детских садах-яслях, укрытий, размещаемых в учреждениях здравоохранения, принимается в соответствии с </w:t>
            </w:r>
            <w:r w:rsidR="00BC4CEC" w:rsidRPr="007640BB">
              <w:t xml:space="preserve">СП 88.13330.2014 </w:t>
            </w:r>
            <w:r w:rsidR="00BC4CEC">
              <w:t>«</w:t>
            </w:r>
            <w:r w:rsidR="00BC4CEC" w:rsidRPr="007640BB">
              <w:t>Защитные сооружения гражданской обороны. Актуализированная редакция СНиП II-11-77*</w:t>
            </w:r>
            <w:r w:rsidR="00BC4CEC">
              <w:t xml:space="preserve">» (далее – </w:t>
            </w:r>
            <w:r w:rsidR="00BC4CEC" w:rsidRPr="007640BB">
              <w:t>СП 88.13330.2014</w:t>
            </w:r>
            <w:r w:rsidR="00BC4CEC">
              <w:t>).</w:t>
            </w:r>
            <w:bookmarkStart w:id="0" w:name="_GoBack"/>
            <w:bookmarkEnd w:id="0"/>
          </w:p>
          <w:p w:rsidR="00A70CFA" w:rsidRPr="00986135" w:rsidRDefault="00A70CFA" w:rsidP="005300D8">
            <w:pPr>
              <w:pStyle w:val="31"/>
            </w:pPr>
            <w:r w:rsidRPr="00986135">
              <w:t>**</w:t>
            </w:r>
            <w:r>
              <w:t>*</w:t>
            </w:r>
            <w:r w:rsidRPr="00986135">
              <w:t xml:space="preserve"> При подвозе укрываемых в противорадиационные укрытия автотранспортом – 20000 м.</w:t>
            </w:r>
          </w:p>
          <w:p w:rsidR="00A70CFA" w:rsidRPr="00986135" w:rsidRDefault="00A70CFA" w:rsidP="005300D8">
            <w:pPr>
              <w:pStyle w:val="32"/>
            </w:pPr>
            <w:r w:rsidRPr="00986135">
              <w:t>Примечание</w:t>
            </w:r>
          </w:p>
          <w:p w:rsidR="00A70CFA" w:rsidRPr="00986135" w:rsidRDefault="00A70CFA" w:rsidP="005300D8">
            <w:pPr>
              <w:pStyle w:val="31"/>
            </w:pPr>
            <w:r w:rsidRPr="00986135">
              <w:t>Защитные сооружения могут использовать в мирное время в качестве:</w:t>
            </w:r>
          </w:p>
          <w:p w:rsidR="00A70CFA" w:rsidRPr="00986135" w:rsidRDefault="00A70CFA" w:rsidP="005300D8">
            <w:pPr>
              <w:pStyle w:val="31"/>
            </w:pPr>
            <w:r>
              <w:t xml:space="preserve">- </w:t>
            </w:r>
            <w:r w:rsidRPr="00986135">
              <w:t>санитарно-бытовых помещений (гардеробные домашней и уличной одежды с душевыми и умывальными);</w:t>
            </w:r>
          </w:p>
          <w:p w:rsidR="00A70CFA" w:rsidRPr="00986135" w:rsidRDefault="00A70CFA" w:rsidP="005300D8">
            <w:pPr>
              <w:pStyle w:val="31"/>
            </w:pPr>
            <w:r>
              <w:t xml:space="preserve">- </w:t>
            </w:r>
            <w:r w:rsidRPr="00986135">
              <w:t>помещений культурного обслуживания и учебных занятий;</w:t>
            </w:r>
          </w:p>
          <w:p w:rsidR="00A70CFA" w:rsidRPr="00986135" w:rsidRDefault="00A70CFA" w:rsidP="005300D8">
            <w:pPr>
              <w:pStyle w:val="31"/>
            </w:pPr>
            <w:r>
              <w:t xml:space="preserve">- </w:t>
            </w:r>
            <w:r w:rsidRPr="00986135">
              <w:t>производственных и технологических помещений, отнесенных по пожарной опасности к категориям Г и Д, в которых осуществляют технологические процессы, не сопровождающиеся выделением вредных жидкостей, паров и газов, опасных для людей, и не требующие естественного освещения;</w:t>
            </w:r>
          </w:p>
          <w:p w:rsidR="00A70CFA" w:rsidRPr="00986135" w:rsidRDefault="00A70CFA" w:rsidP="005300D8">
            <w:pPr>
              <w:pStyle w:val="31"/>
            </w:pPr>
            <w:r>
              <w:t xml:space="preserve">- </w:t>
            </w:r>
            <w:r w:rsidRPr="00986135">
              <w:t>помещений дежурных электриков, связистов, ремонтных бригад;</w:t>
            </w:r>
          </w:p>
          <w:p w:rsidR="00A70CFA" w:rsidRPr="00986135" w:rsidRDefault="00A70CFA" w:rsidP="005300D8">
            <w:pPr>
              <w:pStyle w:val="31"/>
            </w:pPr>
            <w:r>
              <w:t xml:space="preserve">- </w:t>
            </w:r>
            <w:r w:rsidRPr="00986135">
              <w:t>гаражей для легковых автомобилей, подземных стоянок автокаров и автомобилей;</w:t>
            </w:r>
          </w:p>
          <w:p w:rsidR="00A70CFA" w:rsidRPr="00986135" w:rsidRDefault="00A70CFA" w:rsidP="005300D8">
            <w:pPr>
              <w:pStyle w:val="31"/>
            </w:pPr>
            <w:r>
              <w:t xml:space="preserve">- </w:t>
            </w:r>
            <w:r w:rsidRPr="00986135">
              <w:t>складских помещений для хранения несгораемых материалов, а также для сгораемых материалов и несгораемых материалов в сгораемой таре;</w:t>
            </w:r>
          </w:p>
          <w:p w:rsidR="00A70CFA" w:rsidRPr="00986135" w:rsidRDefault="00A70CFA" w:rsidP="005300D8">
            <w:pPr>
              <w:pStyle w:val="31"/>
            </w:pPr>
            <w:r>
              <w:t xml:space="preserve">- </w:t>
            </w:r>
            <w:r w:rsidRPr="00986135">
              <w:t>помещений торговли и общественного питания (магазины, залы столовых, буфеты, кафе, закусочные);</w:t>
            </w:r>
          </w:p>
          <w:p w:rsidR="00A70CFA" w:rsidRPr="00986135" w:rsidRDefault="00A70CFA" w:rsidP="005300D8">
            <w:pPr>
              <w:pStyle w:val="31"/>
            </w:pPr>
            <w:r>
              <w:t xml:space="preserve">- </w:t>
            </w:r>
            <w:r w:rsidRPr="00986135">
              <w:t>спортивных помещений (стрелковые тиры и залы для спортивных занятий);</w:t>
            </w:r>
          </w:p>
          <w:p w:rsidR="00A70CFA" w:rsidRPr="00986135" w:rsidRDefault="00A70CFA" w:rsidP="005300D8">
            <w:pPr>
              <w:pStyle w:val="31"/>
            </w:pPr>
            <w:r>
              <w:t xml:space="preserve">- </w:t>
            </w:r>
            <w:r w:rsidRPr="00986135">
              <w:t>помещений бытового обслуживания населения (дома быта, ателье, мастерские, приемные пункты, фотографии, конторы и службы дирекции по эксплуатации зданий);</w:t>
            </w:r>
          </w:p>
          <w:p w:rsidR="00A70CFA" w:rsidRPr="00986135" w:rsidRDefault="00A70CFA" w:rsidP="005300D8">
            <w:pPr>
              <w:pStyle w:val="31"/>
            </w:pPr>
            <w:r>
              <w:t xml:space="preserve">- </w:t>
            </w:r>
            <w:r w:rsidRPr="00986135">
              <w:t xml:space="preserve">вспомогательных (подсобных) помещений учреждений здравоохранения. </w:t>
            </w:r>
          </w:p>
          <w:p w:rsidR="00A70CFA" w:rsidRPr="00986135" w:rsidRDefault="00A70CFA" w:rsidP="005300D8">
            <w:pPr>
              <w:pStyle w:val="22"/>
            </w:pPr>
            <w:r w:rsidRPr="00986135">
              <w:t>Возможность использования в мирное время защитных сооружений по другому назначению допускается по согласованию с территориальными органами МЧС России.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F2E" w:rsidRDefault="00DA0F2E" w:rsidP="0078570B">
      <w:pPr>
        <w:spacing w:line="240" w:lineRule="auto"/>
      </w:pPr>
      <w:r>
        <w:separator/>
      </w:r>
    </w:p>
  </w:endnote>
  <w:endnote w:type="continuationSeparator" w:id="0">
    <w:p w:rsidR="00DA0F2E" w:rsidRDefault="00DA0F2E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F2E" w:rsidRDefault="00DA0F2E" w:rsidP="0078570B">
      <w:pPr>
        <w:spacing w:line="240" w:lineRule="auto"/>
      </w:pPr>
      <w:r>
        <w:separator/>
      </w:r>
    </w:p>
  </w:footnote>
  <w:footnote w:type="continuationSeparator" w:id="0">
    <w:p w:rsidR="00DA0F2E" w:rsidRDefault="00DA0F2E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0E17E7"/>
    <w:rsid w:val="00102B06"/>
    <w:rsid w:val="001200FD"/>
    <w:rsid w:val="00150047"/>
    <w:rsid w:val="001A284C"/>
    <w:rsid w:val="001A341C"/>
    <w:rsid w:val="001A5DB7"/>
    <w:rsid w:val="001C6E98"/>
    <w:rsid w:val="001D5633"/>
    <w:rsid w:val="001D653F"/>
    <w:rsid w:val="00210904"/>
    <w:rsid w:val="00270E06"/>
    <w:rsid w:val="002753EE"/>
    <w:rsid w:val="00306717"/>
    <w:rsid w:val="00312087"/>
    <w:rsid w:val="00316424"/>
    <w:rsid w:val="003456C0"/>
    <w:rsid w:val="00374DDC"/>
    <w:rsid w:val="003936AD"/>
    <w:rsid w:val="00395F2B"/>
    <w:rsid w:val="003A6D8F"/>
    <w:rsid w:val="003C0D25"/>
    <w:rsid w:val="003C2782"/>
    <w:rsid w:val="003C3773"/>
    <w:rsid w:val="003D6959"/>
    <w:rsid w:val="003F26AE"/>
    <w:rsid w:val="004019F3"/>
    <w:rsid w:val="0043545A"/>
    <w:rsid w:val="004415DD"/>
    <w:rsid w:val="00457F48"/>
    <w:rsid w:val="004B3D2A"/>
    <w:rsid w:val="004D0E7E"/>
    <w:rsid w:val="004F5DE8"/>
    <w:rsid w:val="005623B4"/>
    <w:rsid w:val="005647C2"/>
    <w:rsid w:val="00570C09"/>
    <w:rsid w:val="0063022A"/>
    <w:rsid w:val="0065231E"/>
    <w:rsid w:val="00690456"/>
    <w:rsid w:val="006B4955"/>
    <w:rsid w:val="006E159F"/>
    <w:rsid w:val="007016BA"/>
    <w:rsid w:val="00774E0F"/>
    <w:rsid w:val="0078570B"/>
    <w:rsid w:val="007C3F56"/>
    <w:rsid w:val="007D0206"/>
    <w:rsid w:val="007D345B"/>
    <w:rsid w:val="00813B77"/>
    <w:rsid w:val="00837A54"/>
    <w:rsid w:val="00840485"/>
    <w:rsid w:val="00864324"/>
    <w:rsid w:val="008B1503"/>
    <w:rsid w:val="00985BBA"/>
    <w:rsid w:val="00997134"/>
    <w:rsid w:val="009A39C6"/>
    <w:rsid w:val="00A214EC"/>
    <w:rsid w:val="00A55F1A"/>
    <w:rsid w:val="00A56B51"/>
    <w:rsid w:val="00A64FF6"/>
    <w:rsid w:val="00A70CFA"/>
    <w:rsid w:val="00A73940"/>
    <w:rsid w:val="00AD6514"/>
    <w:rsid w:val="00B033E6"/>
    <w:rsid w:val="00B14BBF"/>
    <w:rsid w:val="00B161AF"/>
    <w:rsid w:val="00B31B76"/>
    <w:rsid w:val="00B458EA"/>
    <w:rsid w:val="00B657B0"/>
    <w:rsid w:val="00B668FC"/>
    <w:rsid w:val="00B67173"/>
    <w:rsid w:val="00BC4CEC"/>
    <w:rsid w:val="00BE6BDA"/>
    <w:rsid w:val="00C317A7"/>
    <w:rsid w:val="00C417CC"/>
    <w:rsid w:val="00CC32FA"/>
    <w:rsid w:val="00D12C83"/>
    <w:rsid w:val="00D6105A"/>
    <w:rsid w:val="00D644CB"/>
    <w:rsid w:val="00DA0F2E"/>
    <w:rsid w:val="00DA1A3C"/>
    <w:rsid w:val="00DB7E98"/>
    <w:rsid w:val="00DC7CAF"/>
    <w:rsid w:val="00DE053C"/>
    <w:rsid w:val="00DE2A52"/>
    <w:rsid w:val="00E13477"/>
    <w:rsid w:val="00E44F86"/>
    <w:rsid w:val="00EA7988"/>
    <w:rsid w:val="00EA7BC7"/>
    <w:rsid w:val="00EE2C52"/>
    <w:rsid w:val="00F01AAA"/>
    <w:rsid w:val="00F16D31"/>
    <w:rsid w:val="00F46058"/>
    <w:rsid w:val="00F60C52"/>
    <w:rsid w:val="00FB3BCF"/>
    <w:rsid w:val="00FE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B8192-F846-4256-9C9E-D646605E8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7</cp:revision>
  <dcterms:created xsi:type="dcterms:W3CDTF">2018-12-13T08:04:00Z</dcterms:created>
  <dcterms:modified xsi:type="dcterms:W3CDTF">2018-12-14T11:30:00Z</dcterms:modified>
</cp:coreProperties>
</file>