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Pr="00C72399" w:rsidRDefault="0094566B"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Pr="00C72399"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 344-Р-ТГД-VI</w:t>
      </w: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4"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6"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w:t>
      </w:r>
      <w:r w:rsidR="00C72399" w:rsidRPr="00C72399">
        <w:rPr>
          <w:rFonts w:ascii="Times New Roman" w:hAnsi="Times New Roman" w:cs="Times New Roman"/>
          <w:sz w:val="27"/>
          <w:szCs w:val="27"/>
        </w:rPr>
        <w:t>Правил землепользования и застройки города Тынды (городского округа)</w:t>
      </w:r>
      <w:r w:rsidRPr="00C72399">
        <w:rPr>
          <w:rFonts w:ascii="Times New Roman" w:hAnsi="Times New Roman" w:cs="Times New Roman"/>
          <w:sz w:val="27"/>
          <w:szCs w:val="27"/>
        </w:rPr>
        <w:t>, проектами планировки территории и проектами межевания, утвержденными в установленном порядке, с учетом сложившейся линии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Default="00C72399" w:rsidP="0094566B">
      <w:pPr>
        <w:autoSpaceDE w:val="0"/>
        <w:autoSpaceDN w:val="0"/>
        <w:adjustRightInd w:val="0"/>
        <w:spacing w:after="0" w:line="240" w:lineRule="auto"/>
        <w:jc w:val="both"/>
        <w:outlineLvl w:val="0"/>
        <w:rPr>
          <w:rFonts w:ascii="Times New Roman" w:hAnsi="Times New Roman" w:cs="Times New Roman"/>
          <w:sz w:val="27"/>
          <w:szCs w:val="27"/>
        </w:rPr>
      </w:pPr>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r>
        <w:rPr>
          <w:rFonts w:ascii="Times New Roman" w:hAnsi="Times New Roman" w:cs="Times New Roman"/>
          <w:b/>
          <w:sz w:val="27"/>
          <w:szCs w:val="27"/>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anchor="Par7" w:history="1">
        <w:r w:rsidRPr="0094566B">
          <w:rPr>
            <w:rFonts w:ascii="Times New Roman" w:hAnsi="Times New Roman" w:cs="Times New Roman"/>
            <w:bCs/>
            <w:color w:val="0000FF"/>
            <w:sz w:val="26"/>
            <w:szCs w:val="26"/>
          </w:rPr>
          <w:t>таблицей 1</w:t>
        </w:r>
      </w:hyperlink>
      <w:r w:rsidRPr="0094566B">
        <w:rPr>
          <w:rFonts w:ascii="Times New Roman" w:hAnsi="Times New Roman" w:cs="Times New Roman"/>
          <w:bCs/>
          <w:sz w:val="26"/>
          <w:szCs w:val="26"/>
        </w:rPr>
        <w:t xml:space="preserve"> и с учетом </w:t>
      </w:r>
      <w:hyperlink w:anchor="Par81" w:history="1">
        <w:r w:rsidRPr="0094566B">
          <w:rPr>
            <w:rFonts w:ascii="Times New Roman" w:hAnsi="Times New Roman" w:cs="Times New Roman"/>
            <w:bCs/>
            <w:color w:val="0000FF"/>
            <w:sz w:val="26"/>
            <w:szCs w:val="26"/>
          </w:rPr>
          <w:t>пунктов 4.4</w:t>
        </w:r>
      </w:hyperlink>
      <w:r w:rsidRPr="0094566B">
        <w:rPr>
          <w:rFonts w:ascii="Times New Roman" w:hAnsi="Times New Roman" w:cs="Times New Roman"/>
          <w:bCs/>
          <w:sz w:val="26"/>
          <w:szCs w:val="26"/>
        </w:rPr>
        <w:t xml:space="preserve"> - </w:t>
      </w:r>
      <w:hyperlink w:anchor="Par84" w:history="1">
        <w:r w:rsidRPr="0094566B">
          <w:rPr>
            <w:rFonts w:ascii="Times New Roman" w:hAnsi="Times New Roman" w:cs="Times New Roman"/>
            <w:bCs/>
            <w:color w:val="0000FF"/>
            <w:sz w:val="26"/>
            <w:szCs w:val="26"/>
          </w:rPr>
          <w:t>4.13</w:t>
        </w:r>
      </w:hyperlink>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jc w:val="both"/>
        <w:outlineLvl w:val="0"/>
        <w:rPr>
          <w:rFonts w:ascii="Times New Roman" w:hAnsi="Times New Roman" w:cs="Times New Roman"/>
          <w:bCs/>
          <w:sz w:val="26"/>
          <w:szCs w:val="26"/>
        </w:rPr>
      </w:pPr>
    </w:p>
    <w:p w:rsidR="0094566B" w:rsidRPr="0094566B" w:rsidRDefault="0094566B" w:rsidP="0094566B">
      <w:pPr>
        <w:autoSpaceDE w:val="0"/>
        <w:autoSpaceDN w:val="0"/>
        <w:adjustRightInd w:val="0"/>
        <w:spacing w:after="0" w:line="240" w:lineRule="auto"/>
        <w:jc w:val="right"/>
        <w:rPr>
          <w:rFonts w:ascii="Times New Roman" w:hAnsi="Times New Roman" w:cs="Times New Roman"/>
          <w:bCs/>
          <w:sz w:val="26"/>
          <w:szCs w:val="26"/>
        </w:rPr>
      </w:pPr>
      <w:bookmarkStart w:id="8" w:name="Par7"/>
      <w:bookmarkEnd w:id="8"/>
      <w:r w:rsidRPr="0094566B">
        <w:rPr>
          <w:rFonts w:ascii="Times New Roman" w:hAnsi="Times New Roman" w:cs="Times New Roman"/>
          <w:bCs/>
          <w:sz w:val="26"/>
          <w:szCs w:val="26"/>
        </w:rPr>
        <w:t>Таблица 1</w:t>
      </w:r>
    </w:p>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1247"/>
        <w:gridCol w:w="1247"/>
        <w:gridCol w:w="1247"/>
        <w:gridCol w:w="1247"/>
      </w:tblGrid>
      <w:tr w:rsidR="0094566B" w:rsidRPr="0094566B">
        <w:tc>
          <w:tcPr>
            <w:tcW w:w="238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Степень огнестойкости здания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Класс конструктивной пожарной опасности</w:t>
            </w:r>
          </w:p>
        </w:tc>
        <w:tc>
          <w:tcPr>
            <w:tcW w:w="4988" w:type="dxa"/>
            <w:gridSpan w:val="4"/>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94566B">
              <w:rPr>
                <w:rFonts w:ascii="Times New Roman" w:hAnsi="Times New Roman" w:cs="Times New Roman"/>
                <w:bCs/>
                <w:sz w:val="26"/>
                <w:szCs w:val="26"/>
              </w:rPr>
              <w:t>м</w:t>
            </w:r>
            <w:proofErr w:type="gramEnd"/>
          </w:p>
        </w:tc>
      </w:tr>
      <w:tr w:rsidR="0094566B" w:rsidRPr="0094566B">
        <w:tc>
          <w:tcPr>
            <w:tcW w:w="238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Жилые и общественные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6</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Производственные и складские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18</w:t>
            </w:r>
          </w:p>
        </w:tc>
      </w:tr>
    </w:tbl>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9" w:name="Par81"/>
      <w:bookmarkEnd w:id="9"/>
      <w:r w:rsidRPr="0094566B">
        <w:rPr>
          <w:rFonts w:ascii="Times New Roman" w:hAnsi="Times New Roman" w:cs="Times New Roman"/>
          <w:bCs/>
          <w:sz w:val="26"/>
          <w:szCs w:val="26"/>
        </w:rP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10" w:name="Par83"/>
      <w:bookmarkEnd w:id="10"/>
      <w:r w:rsidRPr="0094566B">
        <w:rPr>
          <w:rFonts w:ascii="Times New Roman" w:hAnsi="Times New Roman" w:cs="Times New Roman"/>
          <w:bCs/>
          <w:sz w:val="26"/>
          <w:szCs w:val="26"/>
        </w:rP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r>
        <w:rPr>
          <w:rFonts w:ascii="Times New Roman" w:hAnsi="Times New Roman" w:cs="Times New Roman"/>
          <w:bCs/>
          <w:sz w:val="26"/>
          <w:szCs w:val="26"/>
        </w:rPr>
        <w:t xml:space="preserve">                                   </w:t>
      </w:r>
      <w:hyperlink r:id="rId20" w:history="1">
        <w:r w:rsidRPr="0094566B">
          <w:rPr>
            <w:rFonts w:ascii="Times New Roman" w:hAnsi="Times New Roman" w:cs="Times New Roman"/>
            <w:bCs/>
            <w:color w:val="0000FF"/>
            <w:sz w:val="26"/>
            <w:szCs w:val="26"/>
          </w:rPr>
          <w:t>СП 2.13130</w:t>
        </w:r>
      </w:hyperlink>
      <w:r>
        <w:rPr>
          <w:rFonts w:ascii="Times New Roman" w:hAnsi="Times New Roman" w:cs="Times New Roman"/>
          <w:bCs/>
          <w:sz w:val="26"/>
          <w:szCs w:val="26"/>
        </w:rPr>
        <w:t xml:space="preserve">.2020 </w:t>
      </w:r>
      <w:r w:rsidRPr="0094566B">
        <w:rPr>
          <w:rFonts w:ascii="Times New Roman" w:hAnsi="Times New Roman" w:cs="Times New Roman"/>
          <w:bCs/>
          <w:sz w:val="26"/>
          <w:szCs w:val="26"/>
        </w:rPr>
        <w:t xml:space="preserve"> для противопожарных стен 1-го типа.</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11" w:name="Par84"/>
      <w:bookmarkEnd w:id="11"/>
      <w:r w:rsidRPr="0094566B">
        <w:rPr>
          <w:rFonts w:ascii="Times New Roman" w:hAnsi="Times New Roman" w:cs="Times New Roman"/>
          <w:bCs/>
          <w:sz w:val="26"/>
          <w:szCs w:val="26"/>
        </w:rPr>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w:t>
      </w:r>
      <w:hyperlink w:anchor="Par7" w:history="1">
        <w:r w:rsidRPr="0094566B">
          <w:rPr>
            <w:rFonts w:ascii="Times New Roman" w:hAnsi="Times New Roman" w:cs="Times New Roman"/>
            <w:bCs/>
            <w:color w:val="0000FF"/>
            <w:sz w:val="26"/>
            <w:szCs w:val="26"/>
          </w:rPr>
          <w:t>таблицей 1</w:t>
        </w:r>
      </w:hyperlink>
      <w:r w:rsidRPr="0094566B">
        <w:rPr>
          <w:rFonts w:ascii="Times New Roman" w:hAnsi="Times New Roman" w:cs="Times New Roman"/>
          <w:bCs/>
          <w:sz w:val="26"/>
          <w:szCs w:val="26"/>
        </w:rPr>
        <w:t xml:space="preserve"> и с учетом требований </w:t>
      </w:r>
      <w:hyperlink r:id="rId21" w:history="1">
        <w:r w:rsidRPr="0094566B">
          <w:rPr>
            <w:rFonts w:ascii="Times New Roman" w:hAnsi="Times New Roman" w:cs="Times New Roman"/>
            <w:bCs/>
            <w:color w:val="0000FF"/>
            <w:sz w:val="26"/>
            <w:szCs w:val="26"/>
          </w:rPr>
          <w:t>подраздела 5.3</w:t>
        </w:r>
      </w:hyperlink>
      <w:r w:rsidRPr="0094566B">
        <w:rPr>
          <w:rFonts w:ascii="Times New Roman" w:hAnsi="Times New Roman" w:cs="Times New Roman"/>
          <w:bCs/>
          <w:sz w:val="26"/>
          <w:szCs w:val="26"/>
        </w:rPr>
        <w:t xml:space="preserve">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w:t>
      </w:r>
      <w:hyperlink w:anchor="Par7" w:history="1">
        <w:r w:rsidRPr="0094566B">
          <w:rPr>
            <w:rFonts w:ascii="Times New Roman" w:hAnsi="Times New Roman" w:cs="Times New Roman"/>
            <w:bCs/>
            <w:color w:val="0000FF"/>
            <w:sz w:val="26"/>
            <w:szCs w:val="26"/>
          </w:rPr>
          <w:t>таблицей 1</w:t>
        </w:r>
      </w:hyperlink>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w:t>
      </w:r>
      <w:hyperlink w:anchor="Par7" w:history="1">
        <w:r w:rsidRPr="0094566B">
          <w:rPr>
            <w:rFonts w:ascii="Times New Roman" w:hAnsi="Times New Roman" w:cs="Times New Roman"/>
            <w:bCs/>
            <w:color w:val="0000FF"/>
            <w:sz w:val="26"/>
            <w:szCs w:val="26"/>
          </w:rPr>
          <w:t>таблице 1</w:t>
        </w:r>
      </w:hyperlink>
      <w:r w:rsidRPr="0094566B">
        <w:rPr>
          <w:rFonts w:ascii="Times New Roman" w:hAnsi="Times New Roman" w:cs="Times New Roman"/>
          <w:bCs/>
          <w:sz w:val="26"/>
          <w:szCs w:val="26"/>
        </w:rPr>
        <w:t xml:space="preserve">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w:t>
      </w:r>
      <w:proofErr w:type="gramStart"/>
      <w:r w:rsidRPr="0094566B">
        <w:rPr>
          <w:rFonts w:ascii="Times New Roman" w:hAnsi="Times New Roman" w:cs="Times New Roman"/>
          <w:bCs/>
          <w:sz w:val="26"/>
          <w:szCs w:val="26"/>
        </w:rPr>
        <w:t>1</w:t>
      </w:r>
      <w:proofErr w:type="gramEnd"/>
      <w:r w:rsidRPr="0094566B">
        <w:rPr>
          <w:rFonts w:ascii="Times New Roman" w:hAnsi="Times New Roman" w:cs="Times New Roman"/>
          <w:bCs/>
          <w:sz w:val="26"/>
          <w:szCs w:val="26"/>
        </w:rPr>
        <w:t xml:space="preserve"> противопожарные расстояния допускается определять как для здания IV степени огнестойкости, класса конструктивной пожарной опасности С1. Расстояние от глухих негорючих (камень, бетон, железобетон и т.п.) стен домов или хозяйственных построек, имеющих отделку, облицовку (при наличии), а также карнизы и водоизоляционный слой кровли из материалов НГ или Г</w:t>
      </w:r>
      <w:proofErr w:type="gramStart"/>
      <w:r w:rsidRPr="0094566B">
        <w:rPr>
          <w:rFonts w:ascii="Times New Roman" w:hAnsi="Times New Roman" w:cs="Times New Roman"/>
          <w:bCs/>
          <w:sz w:val="26"/>
          <w:szCs w:val="26"/>
        </w:rPr>
        <w:t>1</w:t>
      </w:r>
      <w:proofErr w:type="gramEnd"/>
      <w:r w:rsidRPr="0094566B">
        <w:rPr>
          <w:rFonts w:ascii="Times New Roman" w:hAnsi="Times New Roman" w:cs="Times New Roman"/>
          <w:bCs/>
          <w:sz w:val="26"/>
          <w:szCs w:val="26"/>
        </w:rPr>
        <w:t xml:space="preserve"> до домов соседних участков допускается сокращать до 10 м. Расстояние между глухими негорючими (камень, бетон, железобетон и т.п.) стенами домов, домов и хозяйственных построек на соседних участках допускается сокращать до 6 м, если их отделка, облицовка (при наличии) стен, а также водоизоляционный слой кровли и карнизы (или их обшивка) выполнены из материалов НГ или Г</w:t>
      </w:r>
      <w:proofErr w:type="gramStart"/>
      <w:r w:rsidRPr="0094566B">
        <w:rPr>
          <w:rFonts w:ascii="Times New Roman" w:hAnsi="Times New Roman" w:cs="Times New Roman"/>
          <w:bCs/>
          <w:sz w:val="26"/>
          <w:szCs w:val="26"/>
        </w:rPr>
        <w:t>1</w:t>
      </w:r>
      <w:proofErr w:type="gramEnd"/>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w:t>
      </w:r>
      <w:hyperlink w:anchor="Par83" w:history="1">
        <w:r w:rsidRPr="0094566B">
          <w:rPr>
            <w:rFonts w:ascii="Times New Roman" w:hAnsi="Times New Roman" w:cs="Times New Roman"/>
            <w:bCs/>
            <w:color w:val="0000FF"/>
            <w:sz w:val="26"/>
            <w:szCs w:val="26"/>
          </w:rPr>
          <w:t>пунктом 4.11</w:t>
        </w:r>
      </w:hyperlink>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w:t>
      </w:r>
      <w:proofErr w:type="gramStart"/>
      <w:r w:rsidRPr="0094566B">
        <w:rPr>
          <w:rFonts w:ascii="Times New Roman" w:hAnsi="Times New Roman" w:cs="Times New Roman"/>
          <w:bCs/>
          <w:sz w:val="26"/>
          <w:szCs w:val="26"/>
        </w:rPr>
        <w:t>1</w:t>
      </w:r>
      <w:proofErr w:type="gramEnd"/>
      <w:r w:rsidRPr="0094566B">
        <w:rPr>
          <w:rFonts w:ascii="Times New Roman" w:hAnsi="Times New Roman" w:cs="Times New Roman"/>
          <w:bCs/>
          <w:sz w:val="26"/>
          <w:szCs w:val="26"/>
        </w:rPr>
        <w:t>.4.</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w:t>
      </w:r>
      <w:hyperlink w:anchor="Par7" w:history="1">
        <w:r w:rsidRPr="0094566B">
          <w:rPr>
            <w:rFonts w:ascii="Times New Roman" w:hAnsi="Times New Roman" w:cs="Times New Roman"/>
            <w:bCs/>
            <w:color w:val="0000FF"/>
            <w:sz w:val="26"/>
            <w:szCs w:val="26"/>
          </w:rPr>
          <w:t>таблице 1</w:t>
        </w:r>
      </w:hyperlink>
      <w:r w:rsidRPr="0094566B">
        <w:rPr>
          <w:rFonts w:ascii="Times New Roman" w:hAnsi="Times New Roman" w:cs="Times New Roman"/>
          <w:bCs/>
          <w:sz w:val="26"/>
          <w:szCs w:val="26"/>
        </w:rPr>
        <w:t xml:space="preserve"> следует соблюдать между крайними домами соседних групп (блоков).</w:t>
      </w: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r:id="rId22" w:history="1">
        <w:r w:rsidRPr="0094566B">
          <w:rPr>
            <w:rFonts w:ascii="Times New Roman" w:hAnsi="Times New Roman" w:cs="Times New Roman"/>
            <w:bCs/>
            <w:color w:val="0000FF"/>
            <w:sz w:val="26"/>
            <w:szCs w:val="26"/>
          </w:rPr>
          <w:t>СП 2.13130</w:t>
        </w:r>
      </w:hyperlink>
      <w:r>
        <w:rPr>
          <w:rFonts w:ascii="Times New Roman" w:hAnsi="Times New Roman" w:cs="Times New Roman"/>
          <w:bCs/>
          <w:sz w:val="26"/>
          <w:szCs w:val="26"/>
        </w:rPr>
        <w:t>.2020</w:t>
      </w:r>
      <w:bookmarkStart w:id="12" w:name="_GoBack"/>
      <w:bookmarkEnd w:id="12"/>
      <w:r w:rsidRPr="0094566B">
        <w:rPr>
          <w:rFonts w:ascii="Times New Roman" w:hAnsi="Times New Roman" w:cs="Times New Roman"/>
          <w:bCs/>
          <w:sz w:val="26"/>
          <w:szCs w:val="26"/>
        </w:rPr>
        <w:t>, исходя из наихудших значений степени огнестойкости и класса конструктивной пожарной опасности дома или постройки.</w:t>
      </w:r>
    </w:p>
    <w:p w:rsidR="0094566B" w:rsidRPr="0094566B" w:rsidRDefault="0094566B" w:rsidP="0094566B">
      <w:pPr>
        <w:autoSpaceDE w:val="0"/>
        <w:autoSpaceDN w:val="0"/>
        <w:adjustRightInd w:val="0"/>
        <w:spacing w:after="0" w:line="240" w:lineRule="auto"/>
        <w:jc w:val="both"/>
        <w:outlineLvl w:val="0"/>
        <w:rPr>
          <w:rFonts w:ascii="Times New Roman" w:hAnsi="Times New Roman" w:cs="Times New Roman"/>
          <w:sz w:val="27"/>
          <w:szCs w:val="27"/>
        </w:rPr>
      </w:pPr>
    </w:p>
    <w:sectPr w:rsidR="0094566B" w:rsidRPr="0094566B" w:rsidSect="0094566B">
      <w:headerReference w:type="even" r:id="rId23"/>
      <w:headerReference w:type="default" r:id="rId24"/>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5C" w:rsidRDefault="0084705C" w:rsidP="006B355F">
      <w:pPr>
        <w:spacing w:after="0" w:line="240" w:lineRule="auto"/>
      </w:pPr>
      <w:r>
        <w:separator/>
      </w:r>
    </w:p>
  </w:endnote>
  <w:endnote w:type="continuationSeparator" w:id="0">
    <w:p w:rsidR="0084705C" w:rsidRDefault="0084705C"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5C" w:rsidRDefault="0084705C" w:rsidP="006B355F">
      <w:pPr>
        <w:spacing w:after="0" w:line="240" w:lineRule="auto"/>
      </w:pPr>
      <w:r>
        <w:separator/>
      </w:r>
    </w:p>
  </w:footnote>
  <w:footnote w:type="continuationSeparator" w:id="0">
    <w:p w:rsidR="0084705C" w:rsidRDefault="0084705C"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84705C"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84705C"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82A92"/>
    <w:rsid w:val="004B2491"/>
    <w:rsid w:val="005738AF"/>
    <w:rsid w:val="00617DFA"/>
    <w:rsid w:val="006B355F"/>
    <w:rsid w:val="0084705C"/>
    <w:rsid w:val="0094566B"/>
    <w:rsid w:val="00A40BDC"/>
    <w:rsid w:val="00C72399"/>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459125295CC2D60033F584C99F6408B28BB41970AC0B166E8EBD07087ACD7EF75ABB36B4FD6F21B06E48699B4712FE71610CBDF9C3A9ANAP8G" TargetMode="Externa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yperlink" Target="consultantplus://offline/ref=A459125295CC2D60033F584C99F6408B2BB6429E06C0B166E8EBD07087ACD7FD75F3BF694CC9FB1E13B2D7DFNEP1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header" Target="header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hyperlink" Target="consultantplus://offline/ref=A459125295CC2D60033F584C99F6408B2BB6429E06C0B166E8EBD07087ACD7FD75F3BF694CC9FB1E13B2D7DFNE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6197</Words>
  <Characters>35326</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36. Жилые зоны</vt:lpstr>
      <vt:lpstr/>
      <vt:lpstr>СП 4.13130.2013 «Системы противопожарной защиты. Ограничение распространения пож</vt:lpstr>
      <vt:lpstr/>
      <vt:lpstr/>
      <vt:lpstr/>
    </vt:vector>
  </TitlesOfParts>
  <Company>SPecialiST RePack</Company>
  <LinksUpToDate>false</LinksUpToDate>
  <CharactersWithSpaces>41441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6</cp:revision>
  <cp:lastPrinted>2020-12-23T06:17:00Z</cp:lastPrinted>
  <dcterms:created xsi:type="dcterms:W3CDTF">2020-02-17T23:48:00Z</dcterms:created>
  <dcterms:modified xsi:type="dcterms:W3CDTF">2020-12-23T06:27:00Z</dcterms:modified>
</cp:coreProperties>
</file>