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5738AF"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39</w:t>
      </w:r>
      <w:r w:rsidR="00105127" w:rsidRPr="00C72399">
        <w:rPr>
          <w:rFonts w:ascii="Times New Roman" w:hAnsi="Times New Roman" w:cs="Times New Roman"/>
          <w:b/>
          <w:bCs/>
          <w:sz w:val="27"/>
          <w:szCs w:val="27"/>
        </w:rPr>
        <w:t>.</w:t>
      </w:r>
      <w:r w:rsidRPr="00C72399">
        <w:rPr>
          <w:rFonts w:ascii="Times New Roman" w:hAnsi="Times New Roman" w:cs="Times New Roman"/>
          <w:b/>
          <w:bCs/>
          <w:sz w:val="27"/>
          <w:szCs w:val="27"/>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C72399">
          <w:rPr>
            <w:rFonts w:ascii="Times New Roman" w:hAnsi="Times New Roman" w:cs="Times New Roman"/>
            <w:color w:val="0000FF"/>
            <w:sz w:val="27"/>
            <w:szCs w:val="27"/>
          </w:rPr>
          <w:t>закона</w:t>
        </w:r>
      </w:hyperlink>
      <w:r w:rsidRPr="00C72399">
        <w:rPr>
          <w:rFonts w:ascii="Times New Roman" w:hAnsi="Times New Roman" w:cs="Times New Roman"/>
          <w:sz w:val="27"/>
          <w:szCs w:val="27"/>
        </w:rPr>
        <w:t xml:space="preserve"> от 06.04.2011 № 63-ФЗ «Об электронной подписи» (далее - электронный документ, подписанный электронной подписью).</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случае</w:t>
      </w:r>
      <w:proofErr w:type="gramStart"/>
      <w:r w:rsidRPr="00C72399">
        <w:rPr>
          <w:rFonts w:ascii="Times New Roman" w:hAnsi="Times New Roman" w:cs="Times New Roman"/>
          <w:sz w:val="27"/>
          <w:szCs w:val="27"/>
        </w:rPr>
        <w:t>,</w:t>
      </w:r>
      <w:proofErr w:type="gramEnd"/>
      <w:r w:rsidRPr="00C72399">
        <w:rPr>
          <w:rFonts w:ascii="Times New Roman" w:hAnsi="Times New Roman" w:cs="Times New Roman"/>
          <w:sz w:val="27"/>
          <w:szCs w:val="27"/>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w:t>
      </w:r>
      <w:proofErr w:type="gramStart"/>
      <w:r w:rsidRPr="00C72399">
        <w:rPr>
          <w:rFonts w:ascii="Times New Roman" w:hAnsi="Times New Roman" w:cs="Times New Roman"/>
          <w:sz w:val="27"/>
          <w:szCs w:val="27"/>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72399">
        <w:rPr>
          <w:rFonts w:ascii="Times New Roman" w:hAnsi="Times New Roman" w:cs="Times New Roman"/>
          <w:sz w:val="27"/>
          <w:szCs w:val="27"/>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5 - 6. Утратили силу. - Федеральный </w:t>
      </w:r>
      <w:hyperlink r:id="rId11" w:history="1">
        <w:r w:rsidRPr="00C72399">
          <w:rPr>
            <w:rFonts w:ascii="Times New Roman" w:hAnsi="Times New Roman" w:cs="Times New Roman"/>
            <w:color w:val="0000FF"/>
            <w:sz w:val="27"/>
            <w:szCs w:val="27"/>
          </w:rPr>
          <w:t>закон</w:t>
        </w:r>
      </w:hyperlink>
      <w:r w:rsidRPr="00C72399">
        <w:rPr>
          <w:rFonts w:ascii="Times New Roman" w:hAnsi="Times New Roman" w:cs="Times New Roman"/>
          <w:sz w:val="27"/>
          <w:szCs w:val="27"/>
        </w:rPr>
        <w:t xml:space="preserve"> от 29.12.2017 </w:t>
      </w:r>
      <w:r w:rsidR="004B2491" w:rsidRPr="00C72399">
        <w:rPr>
          <w:rFonts w:ascii="Times New Roman" w:hAnsi="Times New Roman" w:cs="Times New Roman"/>
          <w:sz w:val="27"/>
          <w:szCs w:val="27"/>
        </w:rPr>
        <w:t>№</w:t>
      </w:r>
      <w:r w:rsidRPr="00C72399">
        <w:rPr>
          <w:rFonts w:ascii="Times New Roman" w:hAnsi="Times New Roman" w:cs="Times New Roman"/>
          <w:sz w:val="27"/>
          <w:szCs w:val="27"/>
        </w:rPr>
        <w:t xml:space="preserve"> 455-ФЗ.</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6" w:name="Par13"/>
      <w:bookmarkEnd w:id="6"/>
      <w:r w:rsidRPr="00C72399">
        <w:rPr>
          <w:rFonts w:ascii="Times New Roman" w:hAnsi="Times New Roman" w:cs="Times New Roman"/>
          <w:sz w:val="27"/>
          <w:szCs w:val="27"/>
        </w:rPr>
        <w:t xml:space="preserve">8. </w:t>
      </w:r>
      <w:proofErr w:type="gramStart"/>
      <w:r w:rsidRPr="00C72399">
        <w:rPr>
          <w:rFonts w:ascii="Times New Roman" w:hAnsi="Times New Roman" w:cs="Times New Roman"/>
          <w:sz w:val="27"/>
          <w:szCs w:val="27"/>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На основании указанных в </w:t>
      </w:r>
      <w:hyperlink w:anchor="Par13" w:history="1">
        <w:r w:rsidRPr="00C72399">
          <w:rPr>
            <w:rFonts w:ascii="Times New Roman" w:hAnsi="Times New Roman" w:cs="Times New Roman"/>
            <w:color w:val="0000FF"/>
            <w:sz w:val="27"/>
            <w:szCs w:val="27"/>
          </w:rPr>
          <w:t>части 8</w:t>
        </w:r>
      </w:hyperlink>
      <w:r w:rsidRPr="00C72399">
        <w:rPr>
          <w:rFonts w:ascii="Times New Roman" w:hAnsi="Times New Roman" w:cs="Times New Roman"/>
          <w:sz w:val="27"/>
          <w:szCs w:val="27"/>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w:t>
      </w:r>
      <w:r w:rsidR="004B2491" w:rsidRPr="00C72399">
        <w:rPr>
          <w:rFonts w:ascii="Times New Roman" w:hAnsi="Times New Roman" w:cs="Times New Roman"/>
          <w:sz w:val="27"/>
          <w:szCs w:val="27"/>
        </w:rPr>
        <w:t>ципального образования) в сети «Интернет»</w:t>
      </w:r>
      <w:r w:rsidRPr="00C72399">
        <w:rPr>
          <w:rFonts w:ascii="Times New Roman" w:hAnsi="Times New Roman" w:cs="Times New Roman"/>
          <w:sz w:val="27"/>
          <w:szCs w:val="27"/>
        </w:rPr>
        <w:t>.</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11. В случае</w:t>
      </w:r>
      <w:proofErr w:type="gramStart"/>
      <w:r w:rsidRPr="00C72399">
        <w:rPr>
          <w:rFonts w:ascii="Times New Roman" w:hAnsi="Times New Roman" w:cs="Times New Roman"/>
          <w:sz w:val="27"/>
          <w:szCs w:val="27"/>
        </w:rPr>
        <w:t>,</w:t>
      </w:r>
      <w:proofErr w:type="gramEnd"/>
      <w:r w:rsidRPr="00C72399">
        <w:rPr>
          <w:rFonts w:ascii="Times New Roman" w:hAnsi="Times New Roman" w:cs="Times New Roman"/>
          <w:sz w:val="27"/>
          <w:szCs w:val="27"/>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w:t>
      </w:r>
      <w:r w:rsidR="004B2491" w:rsidRPr="00C72399">
        <w:rPr>
          <w:rFonts w:ascii="Times New Roman" w:hAnsi="Times New Roman" w:cs="Times New Roman"/>
          <w:sz w:val="27"/>
          <w:szCs w:val="27"/>
        </w:rPr>
        <w:t>Градостроительного к</w:t>
      </w:r>
      <w:r w:rsidRPr="00C72399">
        <w:rPr>
          <w:rFonts w:ascii="Times New Roman" w:hAnsi="Times New Roman" w:cs="Times New Roman"/>
          <w:sz w:val="27"/>
          <w:szCs w:val="27"/>
        </w:rPr>
        <w:t>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w:t>
      </w:r>
      <w:r w:rsidR="004B2491" w:rsidRPr="00C72399">
        <w:rPr>
          <w:rFonts w:ascii="Times New Roman" w:hAnsi="Times New Roman" w:cs="Times New Roman"/>
          <w:sz w:val="27"/>
          <w:szCs w:val="27"/>
        </w:rPr>
        <w:t>Градостроительного к</w:t>
      </w:r>
      <w:r w:rsidRPr="00C72399">
        <w:rPr>
          <w:rFonts w:ascii="Times New Roman" w:hAnsi="Times New Roman" w:cs="Times New Roman"/>
          <w:sz w:val="27"/>
          <w:szCs w:val="27"/>
        </w:rPr>
        <w:t>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72399">
        <w:rPr>
          <w:rFonts w:ascii="Times New Roman" w:hAnsi="Times New Roman" w:cs="Times New Roman"/>
          <w:sz w:val="27"/>
          <w:szCs w:val="27"/>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72399" w:rsidRDefault="00105127" w:rsidP="005738AF">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5738AF">
      <w:pPr>
        <w:autoSpaceDE w:val="0"/>
        <w:autoSpaceDN w:val="0"/>
        <w:adjustRightInd w:val="0"/>
        <w:spacing w:after="0" w:line="240" w:lineRule="auto"/>
        <w:ind w:firstLine="540"/>
        <w:jc w:val="both"/>
        <w:rPr>
          <w:rFonts w:ascii="Times New Roman" w:hAnsi="Times New Roman" w:cs="Times New Roman"/>
          <w:sz w:val="27"/>
          <w:szCs w:val="27"/>
        </w:rPr>
      </w:pPr>
    </w:p>
    <w:p w:rsidR="00C72399" w:rsidRPr="00C72399" w:rsidRDefault="00C72399" w:rsidP="005738AF">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bookmarkStart w:id="7" w:name="_GoBack"/>
      <w:bookmarkEnd w:id="7"/>
      <w:r w:rsidRPr="00C72399">
        <w:rPr>
          <w:rFonts w:ascii="Times New Roman" w:eastAsia="Times New Roman" w:hAnsi="Times New Roman" w:cs="Times New Roman"/>
          <w:b/>
          <w:sz w:val="27"/>
          <w:szCs w:val="27"/>
        </w:rPr>
        <w:t xml:space="preserve">Нормативный правовой акт города Тынды от 15.12.2015 № 44-НПА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застройки города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4"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5"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6"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7"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8"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9"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w:t>
      </w:r>
      <w:r w:rsidR="00C72399" w:rsidRPr="00C72399">
        <w:rPr>
          <w:rFonts w:ascii="Times New Roman" w:hAnsi="Times New Roman" w:cs="Times New Roman"/>
          <w:sz w:val="27"/>
          <w:szCs w:val="27"/>
        </w:rPr>
        <w:t>Правил землепользования и застройки города Тынды (городского округа)</w:t>
      </w:r>
      <w:r w:rsidRPr="00C72399">
        <w:rPr>
          <w:rFonts w:ascii="Times New Roman" w:hAnsi="Times New Roman" w:cs="Times New Roman"/>
          <w:sz w:val="27"/>
          <w:szCs w:val="27"/>
        </w:rPr>
        <w:t>, проектами планировки территории и проектами межевания, утвержденными в установленном порядке, с учетом сложившейся линии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20"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Default="00C72399" w:rsidP="00105127">
      <w:pPr>
        <w:spacing w:after="0" w:line="240" w:lineRule="auto"/>
        <w:rPr>
          <w:rFonts w:ascii="Times New Roman" w:hAnsi="Times New Roman" w:cs="Times New Roman"/>
          <w:sz w:val="27"/>
          <w:szCs w:val="27"/>
        </w:rPr>
        <w:sectPr w:rsidR="00C72399" w:rsidSect="00C72399">
          <w:pgSz w:w="11905" w:h="16838"/>
          <w:pgMar w:top="993" w:right="850" w:bottom="1135" w:left="1276" w:header="0" w:footer="0" w:gutter="0"/>
          <w:cols w:space="720"/>
          <w:noEndnote/>
        </w:sectPr>
      </w:pPr>
    </w:p>
    <w:p w:rsidR="006B355F" w:rsidRPr="00C72399" w:rsidRDefault="006B355F" w:rsidP="006B355F">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6B355F" w:rsidRDefault="006B355F" w:rsidP="006B355F">
      <w:pPr>
        <w:pStyle w:val="11"/>
        <w:tabs>
          <w:tab w:val="left" w:pos="1080"/>
        </w:tabs>
        <w:spacing w:before="0" w:beforeAutospacing="0" w:after="0" w:afterAutospacing="0"/>
        <w:ind w:left="8505"/>
        <w:jc w:val="both"/>
        <w:rPr>
          <w:b w:val="0"/>
          <w:caps w:val="0"/>
        </w:rPr>
      </w:pPr>
    </w:p>
    <w:p w:rsidR="006B355F" w:rsidRPr="006B355F" w:rsidRDefault="006B355F" w:rsidP="006B355F">
      <w:pPr>
        <w:pStyle w:val="11"/>
        <w:tabs>
          <w:tab w:val="left" w:pos="1080"/>
        </w:tabs>
        <w:spacing w:before="0" w:beforeAutospacing="0" w:after="0" w:afterAutospacing="0"/>
        <w:ind w:left="8505"/>
        <w:jc w:val="right"/>
        <w:rPr>
          <w:caps w:val="0"/>
          <w:sz w:val="27"/>
          <w:szCs w:val="27"/>
        </w:rPr>
      </w:pPr>
      <w:r w:rsidRPr="006B355F">
        <w:rPr>
          <w:caps w:val="0"/>
          <w:sz w:val="27"/>
          <w:szCs w:val="27"/>
        </w:rPr>
        <w:t>Таблица 4</w:t>
      </w:r>
    </w:p>
    <w:p w:rsidR="006B355F" w:rsidRPr="006B355F" w:rsidRDefault="006B355F" w:rsidP="006B355F">
      <w:pPr>
        <w:pStyle w:val="Iauiue"/>
        <w:jc w:val="center"/>
        <w:rPr>
          <w:b/>
          <w:caps/>
          <w:sz w:val="28"/>
          <w:szCs w:val="28"/>
        </w:rPr>
      </w:pPr>
    </w:p>
    <w:p w:rsidR="006B355F" w:rsidRPr="006B355F" w:rsidRDefault="006B355F" w:rsidP="006B355F">
      <w:pPr>
        <w:pStyle w:val="Iauiue"/>
        <w:jc w:val="center"/>
        <w:rPr>
          <w:b/>
          <w:caps/>
          <w:sz w:val="28"/>
          <w:szCs w:val="28"/>
        </w:rPr>
      </w:pPr>
      <w:r w:rsidRPr="006B355F">
        <w:rPr>
          <w:b/>
          <w:caps/>
          <w:sz w:val="28"/>
          <w:szCs w:val="28"/>
        </w:rPr>
        <w:t>Виды разрешенного использования земельных участков и объектов капитального строительства, установленные для территориальной зоны Ж-4</w:t>
      </w:r>
    </w:p>
    <w:p w:rsidR="006B355F" w:rsidRPr="006B355F" w:rsidRDefault="006B355F" w:rsidP="006B355F">
      <w:pPr>
        <w:spacing w:after="0"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923"/>
        <w:gridCol w:w="3356"/>
        <w:gridCol w:w="3756"/>
        <w:gridCol w:w="3969"/>
      </w:tblGrid>
      <w:tr w:rsidR="006B355F" w:rsidRPr="006B355F" w:rsidTr="0036150C">
        <w:trPr>
          <w:tblHeader/>
        </w:trPr>
        <w:tc>
          <w:tcPr>
            <w:tcW w:w="941" w:type="pct"/>
            <w:vAlign w:val="center"/>
          </w:tcPr>
          <w:p w:rsidR="006B355F" w:rsidRPr="006B355F" w:rsidRDefault="006B355F" w:rsidP="006B355F">
            <w:pPr>
              <w:spacing w:after="0" w:line="240" w:lineRule="auto"/>
              <w:jc w:val="center"/>
              <w:rPr>
                <w:rFonts w:ascii="Times New Roman" w:hAnsi="Times New Roman" w:cs="Times New Roman"/>
                <w:b/>
                <w:sz w:val="27"/>
                <w:szCs w:val="27"/>
              </w:rPr>
            </w:pPr>
            <w:bookmarkStart w:id="8" w:name="_Toc245015329"/>
            <w:r w:rsidRPr="006B355F">
              <w:rPr>
                <w:rFonts w:ascii="Times New Roman" w:hAnsi="Times New Roman" w:cs="Times New Roman"/>
                <w:b/>
                <w:sz w:val="27"/>
                <w:szCs w:val="27"/>
              </w:rPr>
              <w:t>Виды разрешенного использования</w:t>
            </w:r>
          </w:p>
        </w:tc>
        <w:tc>
          <w:tcPr>
            <w:tcW w:w="312" w:type="pct"/>
            <w:vAlign w:val="center"/>
          </w:tcPr>
          <w:p w:rsidR="006B355F" w:rsidRPr="006B355F" w:rsidRDefault="006B355F" w:rsidP="006B355F">
            <w:pPr>
              <w:spacing w:after="0" w:line="240" w:lineRule="auto"/>
              <w:ind w:left="-204" w:right="-108"/>
              <w:jc w:val="center"/>
              <w:rPr>
                <w:rFonts w:ascii="Times New Roman" w:hAnsi="Times New Roman" w:cs="Times New Roman"/>
                <w:b/>
                <w:sz w:val="27"/>
                <w:szCs w:val="27"/>
              </w:rPr>
            </w:pPr>
            <w:r w:rsidRPr="006B355F">
              <w:rPr>
                <w:rFonts w:ascii="Times New Roman" w:hAnsi="Times New Roman" w:cs="Times New Roman"/>
                <w:b/>
                <w:bCs/>
                <w:sz w:val="27"/>
                <w:szCs w:val="27"/>
              </w:rPr>
              <w:t xml:space="preserve">Код вида </w:t>
            </w:r>
          </w:p>
        </w:tc>
        <w:tc>
          <w:tcPr>
            <w:tcW w:w="1135" w:type="pct"/>
            <w:vAlign w:val="center"/>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
                <w:sz w:val="27"/>
                <w:szCs w:val="27"/>
              </w:rPr>
              <w:t>Основные виды разрешенного использования</w:t>
            </w:r>
          </w:p>
        </w:tc>
        <w:tc>
          <w:tcPr>
            <w:tcW w:w="1270" w:type="pct"/>
            <w:vAlign w:val="center"/>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
                <w:bCs/>
                <w:sz w:val="27"/>
                <w:szCs w:val="27"/>
              </w:rPr>
              <w:t>Вспомогательные виды разрешенного использования</w:t>
            </w:r>
          </w:p>
        </w:tc>
        <w:tc>
          <w:tcPr>
            <w:tcW w:w="1342" w:type="pct"/>
            <w:vAlign w:val="center"/>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
                <w:sz w:val="27"/>
                <w:szCs w:val="27"/>
              </w:rPr>
              <w:t>Условно разрешенные виды использования</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 xml:space="preserve">1. </w:t>
            </w:r>
            <w:proofErr w:type="spellStart"/>
            <w:r w:rsidRPr="006B355F">
              <w:rPr>
                <w:rFonts w:ascii="Times New Roman" w:hAnsi="Times New Roman" w:cs="Times New Roman"/>
                <w:bCs/>
                <w:sz w:val="27"/>
                <w:szCs w:val="27"/>
              </w:rPr>
              <w:t>Среднеэтажная</w:t>
            </w:r>
            <w:proofErr w:type="spellEnd"/>
            <w:r w:rsidRPr="006B355F">
              <w:rPr>
                <w:rFonts w:ascii="Times New Roman" w:hAnsi="Times New Roman" w:cs="Times New Roman"/>
                <w:bCs/>
                <w:sz w:val="27"/>
                <w:szCs w:val="27"/>
              </w:rPr>
              <w:t xml:space="preserve"> жилая застройка</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2.5</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Благоустройство и озеленение;</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размещение подземных гаражей и автостоянок;</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спортивные и детские площадки; площадки отдыха;</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c>
          <w:tcPr>
            <w:tcW w:w="1342"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 xml:space="preserve">Жилой дом, предназначенный для разделения на квартиры, каждая из которых пригодна для постоянного проживания*; </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многоквартирный жилой дом*;</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 xml:space="preserve">размещение объектов обслуживания жилой застройки во встроенных, пристроенных и встроенно-пристроенных помещениях многоквартирного дома**  </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
                <w:sz w:val="27"/>
                <w:szCs w:val="27"/>
              </w:rPr>
            </w:pPr>
            <w:r w:rsidRPr="006B355F">
              <w:rPr>
                <w:rFonts w:ascii="Times New Roman" w:hAnsi="Times New Roman" w:cs="Times New Roman"/>
                <w:bCs/>
                <w:sz w:val="27"/>
                <w:szCs w:val="27"/>
              </w:rPr>
              <w:t xml:space="preserve">2. </w:t>
            </w:r>
            <w:r w:rsidRPr="006B355F">
              <w:rPr>
                <w:rFonts w:ascii="Times New Roman" w:hAnsi="Times New Roman" w:cs="Times New Roman"/>
                <w:sz w:val="27"/>
                <w:szCs w:val="27"/>
              </w:rPr>
              <w:t>Многоэтажная жилая застройка (высотная застройка)</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2.6</w:t>
            </w:r>
          </w:p>
        </w:tc>
        <w:tc>
          <w:tcPr>
            <w:tcW w:w="1135"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Жилые дома, предназначенные для разделения на квартиры, каждая из которых пригодна для постоянного проживания***</w:t>
            </w:r>
            <w:proofErr w:type="gramStart"/>
            <w:r w:rsidRPr="006B355F">
              <w:rPr>
                <w:rFonts w:ascii="Times New Roman" w:hAnsi="Times New Roman" w:cs="Times New Roman"/>
                <w:bCs/>
                <w:sz w:val="27"/>
                <w:szCs w:val="27"/>
              </w:rPr>
              <w:t xml:space="preserve"> ;</w:t>
            </w:r>
            <w:proofErr w:type="gramEnd"/>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Многоквартирный жилой дом***</w:t>
            </w:r>
          </w:p>
        </w:tc>
        <w:tc>
          <w:tcPr>
            <w:tcW w:w="1270"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Благоустройство и озеленение придомовых территорий;</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 xml:space="preserve">спортивные и детские площадки; хозяйственные площадки; </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 xml:space="preserve">размещение подземных гаражей; размещение наземных автостоянок </w:t>
            </w:r>
          </w:p>
        </w:tc>
        <w:tc>
          <w:tcPr>
            <w:tcW w:w="1342" w:type="pct"/>
          </w:tcPr>
          <w:p w:rsidR="006B355F" w:rsidRPr="006B355F" w:rsidRDefault="006B355F" w:rsidP="006B355F">
            <w:pPr>
              <w:spacing w:after="0" w:line="240" w:lineRule="auto"/>
              <w:rPr>
                <w:rFonts w:ascii="Times New Roman" w:hAnsi="Times New Roman" w:cs="Times New Roman"/>
                <w:sz w:val="27"/>
                <w:szCs w:val="27"/>
              </w:rPr>
            </w:pPr>
            <w:r w:rsidRPr="006B355F">
              <w:rPr>
                <w:rFonts w:ascii="Times New Roman" w:hAnsi="Times New Roman" w:cs="Times New Roman"/>
                <w:bCs/>
                <w:sz w:val="27"/>
                <w:szCs w:val="27"/>
              </w:rPr>
              <w:t>размещение объектов обслуживания жилой застройки во встроенных, пристроенных и встроенно-пристроенных помещениях многоквартирного дома ****</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sz w:val="27"/>
                <w:szCs w:val="27"/>
              </w:rPr>
            </w:pPr>
            <w:r w:rsidRPr="006B355F">
              <w:rPr>
                <w:rFonts w:ascii="Times New Roman" w:hAnsi="Times New Roman" w:cs="Times New Roman"/>
                <w:sz w:val="27"/>
                <w:szCs w:val="27"/>
              </w:rPr>
              <w:t>3. Объекты гаражного назначения*****</w:t>
            </w: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2.7.1</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 xml:space="preserve">Отдельно стоящий гараж; пристроенный гараж; подземный гараж </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4. </w:t>
            </w:r>
            <w:r w:rsidRPr="006B355F">
              <w:rPr>
                <w:rFonts w:ascii="Times New Roman" w:hAnsi="Times New Roman" w:cs="Times New Roman"/>
                <w:bCs/>
                <w:sz w:val="27"/>
                <w:szCs w:val="27"/>
              </w:rPr>
              <w:t>Коммунальное обслуживание******</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3.1</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proofErr w:type="gramStart"/>
            <w:r w:rsidRPr="006B355F">
              <w:rPr>
                <w:rFonts w:ascii="Times New Roman" w:hAnsi="Times New Roman" w:cs="Times New Roman"/>
                <w:sz w:val="27"/>
                <w:szCs w:val="27"/>
              </w:rPr>
              <w:t>Котельная; насосная станция; водопровод; линии электропередач; трансформаторная подстанция; газопровод; линии связи; телефонная станция; канализация;</w:t>
            </w:r>
            <w:proofErr w:type="gramEnd"/>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proofErr w:type="gramStart"/>
            <w:r w:rsidRPr="006B355F">
              <w:rPr>
                <w:rFonts w:ascii="Times New Roman" w:hAnsi="Times New Roman" w:cs="Times New Roman"/>
                <w:sz w:val="27"/>
                <w:szCs w:val="27"/>
              </w:rPr>
              <w:t>Здание или помещение, предназначенные для приема физических и юридических лиц в связи с предоставлением им коммунальных услуг</w:t>
            </w:r>
            <w:proofErr w:type="gramEnd"/>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Стоянки, гаражи и мастерские для обслуживания уборочной и аварийной техники</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c>
          <w:tcPr>
            <w:tcW w:w="134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5. </w:t>
            </w:r>
            <w:r w:rsidRPr="006B355F">
              <w:rPr>
                <w:rFonts w:ascii="Times New Roman" w:hAnsi="Times New Roman" w:cs="Times New Roman"/>
                <w:bCs/>
                <w:sz w:val="27"/>
                <w:szCs w:val="27"/>
              </w:rPr>
              <w:t>Социальное обслуживание******</w:t>
            </w:r>
          </w:p>
          <w:p w:rsidR="006B355F" w:rsidRPr="006B355F" w:rsidRDefault="006B355F" w:rsidP="006B355F">
            <w:pPr>
              <w:spacing w:after="0" w:line="240" w:lineRule="auto"/>
              <w:rPr>
                <w:rFonts w:ascii="Times New Roman" w:hAnsi="Times New Roman" w:cs="Times New Roman"/>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3.2</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объектов капитального строительства, предназначенных для оказания гражданам социальной помощи.</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Служба занятости населения; служба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отделение почты и телеграфа</w:t>
            </w:r>
          </w:p>
        </w:tc>
        <w:tc>
          <w:tcPr>
            <w:tcW w:w="1270"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Объект капитального строительства для размещения общественной некоммерческой организации: благотворительные организации, клуб по интересам</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6.  </w:t>
            </w:r>
            <w:r w:rsidRPr="006B355F">
              <w:rPr>
                <w:rFonts w:ascii="Times New Roman" w:hAnsi="Times New Roman" w:cs="Times New Roman"/>
                <w:bCs/>
                <w:sz w:val="27"/>
                <w:szCs w:val="27"/>
              </w:rPr>
              <w:t>Бытовое обслуживание******</w:t>
            </w:r>
          </w:p>
          <w:p w:rsidR="006B355F" w:rsidRPr="006B355F" w:rsidRDefault="006B355F" w:rsidP="006B355F">
            <w:pPr>
              <w:spacing w:after="0" w:line="240" w:lineRule="auto"/>
              <w:rPr>
                <w:rFonts w:ascii="Times New Roman" w:hAnsi="Times New Roman" w:cs="Times New Roman"/>
                <w:sz w:val="27"/>
                <w:szCs w:val="27"/>
              </w:rPr>
            </w:pP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Cs/>
                <w:sz w:val="27"/>
                <w:szCs w:val="27"/>
              </w:rPr>
              <w:t>3.3</w:t>
            </w:r>
          </w:p>
        </w:tc>
        <w:tc>
          <w:tcPr>
            <w:tcW w:w="1135"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объектов капитального строительства, предназначенных для оказания населению или организациям бытовых услуг.</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Мастерская мелкого ремонта; ателье; баня; парикмахерская; прачечная; химчистка</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bCs/>
                <w:sz w:val="27"/>
                <w:szCs w:val="27"/>
              </w:rPr>
              <w:t xml:space="preserve">7. </w:t>
            </w:r>
            <w:r w:rsidRPr="006B355F">
              <w:rPr>
                <w:rFonts w:ascii="Times New Roman" w:hAnsi="Times New Roman" w:cs="Times New Roman"/>
                <w:sz w:val="27"/>
                <w:szCs w:val="27"/>
              </w:rPr>
              <w:t>Амбулаторно-поликлиническое обслуживание******</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3.4.1</w:t>
            </w:r>
          </w:p>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Поликлиника; фельдшерский пункт; пун</w:t>
            </w:r>
            <w:proofErr w:type="gramStart"/>
            <w:r w:rsidRPr="006B355F">
              <w:rPr>
                <w:rFonts w:ascii="Times New Roman" w:hAnsi="Times New Roman" w:cs="Times New Roman"/>
                <w:sz w:val="27"/>
                <w:szCs w:val="27"/>
              </w:rPr>
              <w:t>кт здр</w:t>
            </w:r>
            <w:proofErr w:type="gramEnd"/>
            <w:r w:rsidRPr="006B355F">
              <w:rPr>
                <w:rFonts w:ascii="Times New Roman" w:hAnsi="Times New Roman" w:cs="Times New Roman"/>
                <w:sz w:val="27"/>
                <w:szCs w:val="27"/>
              </w:rPr>
              <w:t>авоохранения; диагностический центр; молочная кухня; клиническая лаборатория; аптека</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sz w:val="27"/>
                <w:szCs w:val="27"/>
              </w:rPr>
            </w:pPr>
            <w:r w:rsidRPr="006B355F">
              <w:rPr>
                <w:rFonts w:ascii="Times New Roman" w:hAnsi="Times New Roman" w:cs="Times New Roman"/>
                <w:sz w:val="27"/>
                <w:szCs w:val="27"/>
              </w:rPr>
              <w:t>8. Дошкольное, начальное и среднее общее образование*****</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3.5.1</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объектов капитального строительства, предназначенных для просвещения, дошкольного, начального и среднего общего образования.</w:t>
            </w:r>
          </w:p>
          <w:p w:rsidR="006B355F" w:rsidRPr="006B355F" w:rsidRDefault="006B355F" w:rsidP="006B355F">
            <w:pPr>
              <w:autoSpaceDE w:val="0"/>
              <w:autoSpaceDN w:val="0"/>
              <w:adjustRightInd w:val="0"/>
              <w:spacing w:after="0" w:line="240" w:lineRule="auto"/>
              <w:rPr>
                <w:rFonts w:ascii="Times New Roman" w:hAnsi="Times New Roman" w:cs="Times New Roman"/>
                <w:sz w:val="27"/>
                <w:szCs w:val="27"/>
              </w:rPr>
            </w:pPr>
            <w:r w:rsidRPr="006B355F">
              <w:rPr>
                <w:rFonts w:ascii="Times New Roman" w:hAnsi="Times New Roman" w:cs="Times New Roman"/>
                <w:sz w:val="27"/>
                <w:szCs w:val="27"/>
              </w:rPr>
              <w:t xml:space="preserve"> </w:t>
            </w:r>
            <w:proofErr w:type="gramStart"/>
            <w:r w:rsidRPr="006B355F">
              <w:rPr>
                <w:rFonts w:ascii="Times New Roman" w:hAnsi="Times New Roman" w:cs="Times New Roman"/>
                <w:sz w:val="27"/>
                <w:szCs w:val="27"/>
              </w:rPr>
              <w:t>Детские ясли; детский сад; школа; лицей; гимназия; художественная школа; музыкальная школа; образовательные кружки; иные организации, осуществляющие деятельность по воспитанию, образованию и просвещению.</w:t>
            </w:r>
            <w:proofErr w:type="gramEnd"/>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9. </w:t>
            </w:r>
            <w:r w:rsidRPr="006B355F">
              <w:rPr>
                <w:rFonts w:ascii="Times New Roman" w:hAnsi="Times New Roman" w:cs="Times New Roman"/>
                <w:bCs/>
                <w:sz w:val="27"/>
                <w:szCs w:val="27"/>
              </w:rPr>
              <w:t>Культурное развитие******</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3.6</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proofErr w:type="gramStart"/>
            <w:r w:rsidRPr="006B355F">
              <w:rPr>
                <w:rFonts w:ascii="Times New Roman" w:hAnsi="Times New Roman" w:cs="Times New Roman"/>
                <w:sz w:val="27"/>
                <w:szCs w:val="27"/>
              </w:rPr>
              <w:t xml:space="preserve">Музей; выставочный зал; художественная галерея; дом культуры; библиотека; кинотеатр; кинозал; театр; филармония </w:t>
            </w:r>
            <w:proofErr w:type="gramEnd"/>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Устройство площадок для празднеств и гуляний</w:t>
            </w:r>
          </w:p>
          <w:p w:rsidR="006B355F" w:rsidRPr="006B355F" w:rsidRDefault="006B355F" w:rsidP="006B355F">
            <w:pPr>
              <w:spacing w:after="0" w:line="240" w:lineRule="auto"/>
              <w:rPr>
                <w:rFonts w:ascii="Times New Roman" w:hAnsi="Times New Roman" w:cs="Times New Roman"/>
                <w:sz w:val="27"/>
                <w:szCs w:val="27"/>
              </w:rPr>
            </w:pPr>
          </w:p>
        </w:tc>
        <w:tc>
          <w:tcPr>
            <w:tcW w:w="1342" w:type="pct"/>
          </w:tcPr>
          <w:p w:rsidR="006B355F" w:rsidRPr="006B355F" w:rsidRDefault="006B355F" w:rsidP="006B355F">
            <w:pPr>
              <w:spacing w:after="0" w:line="240" w:lineRule="auto"/>
              <w:rPr>
                <w:rFonts w:ascii="Times New Roman" w:hAnsi="Times New Roman" w:cs="Times New Roman"/>
                <w:sz w:val="27"/>
                <w:szCs w:val="27"/>
              </w:rPr>
            </w:pPr>
            <w:r w:rsidRPr="006B355F">
              <w:rPr>
                <w:rFonts w:ascii="Times New Roman" w:hAnsi="Times New Roman" w:cs="Times New Roman"/>
                <w:bCs/>
                <w:sz w:val="27"/>
                <w:szCs w:val="27"/>
              </w:rPr>
              <w:t>Здания и сооружения для размещения цирков; зверинцев; зоопарков; океанариумов</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10. Амбулаторное ветеринарное обслуживание******</w:t>
            </w:r>
          </w:p>
          <w:p w:rsidR="006B355F" w:rsidRPr="006B355F" w:rsidRDefault="006B355F" w:rsidP="006B355F">
            <w:pPr>
              <w:autoSpaceDE w:val="0"/>
              <w:autoSpaceDN w:val="0"/>
              <w:adjustRightInd w:val="0"/>
              <w:spacing w:after="0" w:line="240" w:lineRule="auto"/>
              <w:rPr>
                <w:rFonts w:ascii="Times New Roman" w:hAnsi="Times New Roman" w:cs="Times New Roman"/>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3.10.1</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Объект капитального строительства, предназначенный для оказания ветеринарных услуг без содержания животных</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11. </w:t>
            </w:r>
            <w:r w:rsidRPr="006B355F">
              <w:rPr>
                <w:rFonts w:ascii="Times New Roman" w:hAnsi="Times New Roman" w:cs="Times New Roman"/>
                <w:bCs/>
                <w:sz w:val="27"/>
                <w:szCs w:val="27"/>
              </w:rPr>
              <w:t>Деловое управление******</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4.1</w:t>
            </w:r>
          </w:p>
        </w:tc>
        <w:tc>
          <w:tcPr>
            <w:tcW w:w="1135"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Объект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 xml:space="preserve">12. </w:t>
            </w:r>
            <w:r w:rsidRPr="006B355F">
              <w:rPr>
                <w:rFonts w:ascii="Times New Roman" w:hAnsi="Times New Roman" w:cs="Times New Roman"/>
                <w:bCs/>
                <w:sz w:val="27"/>
                <w:szCs w:val="27"/>
              </w:rPr>
              <w:t>Магазины******</w:t>
            </w: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Cs/>
                <w:sz w:val="27"/>
                <w:szCs w:val="27"/>
              </w:rPr>
              <w:t>4.4</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 xml:space="preserve">Магазин; объект капитального строительства, предназначенный для продажи товаров, торговая площадь которых составляет до </w:t>
            </w:r>
            <w:smartTag w:uri="urn:schemas-microsoft-com:office:smarttags" w:element="metricconverter">
              <w:smartTagPr>
                <w:attr w:name="ProductID" w:val="5000 кв. м"/>
              </w:smartTagPr>
              <w:r w:rsidRPr="006B355F">
                <w:rPr>
                  <w:rFonts w:ascii="Times New Roman" w:hAnsi="Times New Roman" w:cs="Times New Roman"/>
                  <w:bCs/>
                  <w:sz w:val="27"/>
                  <w:szCs w:val="27"/>
                </w:rPr>
                <w:t>5000 кв. м</w:t>
              </w:r>
            </w:smartTag>
            <w:r w:rsidRPr="006B355F">
              <w:rPr>
                <w:rFonts w:ascii="Times New Roman" w:hAnsi="Times New Roman" w:cs="Times New Roman"/>
                <w:bCs/>
                <w:sz w:val="27"/>
                <w:szCs w:val="27"/>
              </w:rPr>
              <w:t xml:space="preserve"> </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13. </w:t>
            </w:r>
            <w:r w:rsidRPr="006B355F">
              <w:rPr>
                <w:rFonts w:ascii="Times New Roman" w:hAnsi="Times New Roman" w:cs="Times New Roman"/>
                <w:bCs/>
                <w:sz w:val="27"/>
                <w:szCs w:val="27"/>
              </w:rPr>
              <w:t>Банковская и страховая деятельность</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4.5</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bCs/>
                <w:sz w:val="27"/>
                <w:szCs w:val="27"/>
              </w:rPr>
              <w:t>Объект капитального строительства, предназначенный для размещения организаций, оказывающих банковские и страховые услуги</w:t>
            </w:r>
            <w:r w:rsidRPr="006B355F">
              <w:rPr>
                <w:rFonts w:ascii="Times New Roman" w:hAnsi="Times New Roman" w:cs="Times New Roman"/>
                <w:sz w:val="27"/>
                <w:szCs w:val="27"/>
              </w:rPr>
              <w:t xml:space="preserve"> </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14. </w:t>
            </w:r>
            <w:r w:rsidRPr="006B355F">
              <w:rPr>
                <w:rFonts w:ascii="Times New Roman" w:hAnsi="Times New Roman" w:cs="Times New Roman"/>
                <w:bCs/>
                <w:sz w:val="27"/>
                <w:szCs w:val="27"/>
              </w:rPr>
              <w:t>Общественное питание******</w:t>
            </w: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Cs/>
                <w:sz w:val="27"/>
                <w:szCs w:val="27"/>
              </w:rPr>
              <w:t>4.6</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Размещение объектов капитального строительства в целях устройства мест общественного питания. Ресторан; кафе; столовая; закусочная; бар</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15. </w:t>
            </w:r>
            <w:r w:rsidRPr="006B355F">
              <w:rPr>
                <w:rFonts w:ascii="Times New Roman" w:hAnsi="Times New Roman" w:cs="Times New Roman"/>
                <w:bCs/>
                <w:sz w:val="27"/>
                <w:szCs w:val="27"/>
              </w:rPr>
              <w:t>Гостиничное обслуживание******</w:t>
            </w: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Cs/>
                <w:sz w:val="27"/>
                <w:szCs w:val="27"/>
              </w:rPr>
              <w:t>4.7</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Гостиница; иные здания, используемые с целью извлечения предпринимательской выгоды из предоставления жилого помещения для временного проживания в них</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 xml:space="preserve">16. </w:t>
            </w:r>
            <w:r w:rsidRPr="006B355F">
              <w:rPr>
                <w:rFonts w:ascii="Times New Roman" w:hAnsi="Times New Roman" w:cs="Times New Roman"/>
                <w:bCs/>
                <w:sz w:val="27"/>
                <w:szCs w:val="27"/>
              </w:rPr>
              <w:t xml:space="preserve">Развлечения </w:t>
            </w:r>
          </w:p>
        </w:tc>
        <w:tc>
          <w:tcPr>
            <w:tcW w:w="31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bCs/>
                <w:sz w:val="27"/>
                <w:szCs w:val="27"/>
              </w:rPr>
              <w:t>4.8</w:t>
            </w:r>
          </w:p>
        </w:tc>
        <w:tc>
          <w:tcPr>
            <w:tcW w:w="1135"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270"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bCs/>
                <w:sz w:val="27"/>
                <w:szCs w:val="27"/>
              </w:rPr>
              <w:t>Объекты, предназначенные для размещения дискотек;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 xml:space="preserve">17. </w:t>
            </w:r>
            <w:r w:rsidRPr="006B355F">
              <w:rPr>
                <w:rFonts w:ascii="Times New Roman" w:hAnsi="Times New Roman" w:cs="Times New Roman"/>
                <w:bCs/>
                <w:sz w:val="27"/>
                <w:szCs w:val="27"/>
              </w:rPr>
              <w:t>Спорт</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5.1</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 xml:space="preserve">Размещение объектов капитального строительства в качестве спортивных клубов; спортивный зал, бассейн </w:t>
            </w:r>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Устройство площадок для занятия спортом и физкультурой; беговые дорожки; спортивные сооружения; теннисный корт; поле для спортивной игры</w:t>
            </w:r>
          </w:p>
        </w:tc>
        <w:tc>
          <w:tcPr>
            <w:tcW w:w="134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 xml:space="preserve">18. </w:t>
            </w:r>
            <w:r w:rsidRPr="006B355F">
              <w:rPr>
                <w:rFonts w:ascii="Times New Roman" w:hAnsi="Times New Roman" w:cs="Times New Roman"/>
                <w:bCs/>
                <w:sz w:val="27"/>
                <w:szCs w:val="27"/>
              </w:rPr>
              <w:t xml:space="preserve">Автомобильный транспорт </w:t>
            </w: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7.2</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Размещение автомобильных дорог и технически связанных с ними сооружений;</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здания и сооружения, предназначенные для обслуживания пассажиров и обеспечивающие работу транспортных средств; пост органов внутренних дел, ответственных за безопасность дорожного движения</w:t>
            </w:r>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Оборудование земельных участков для стоянок автомобильного транспорта</w:t>
            </w:r>
          </w:p>
        </w:tc>
        <w:tc>
          <w:tcPr>
            <w:tcW w:w="134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r w:rsidRPr="006B355F">
              <w:rPr>
                <w:rFonts w:ascii="Times New Roman" w:hAnsi="Times New Roman" w:cs="Times New Roman"/>
                <w:sz w:val="27"/>
                <w:szCs w:val="27"/>
              </w:rPr>
              <w:t xml:space="preserve">19. </w:t>
            </w:r>
            <w:r w:rsidRPr="006B355F">
              <w:rPr>
                <w:rFonts w:ascii="Times New Roman" w:hAnsi="Times New Roman" w:cs="Times New Roman"/>
                <w:bCs/>
                <w:sz w:val="27"/>
                <w:szCs w:val="27"/>
              </w:rPr>
              <w:t>Обеспечение внутреннего правопорядка</w:t>
            </w:r>
          </w:p>
          <w:p w:rsidR="006B355F" w:rsidRPr="006B355F" w:rsidRDefault="006B355F" w:rsidP="006B355F">
            <w:pPr>
              <w:autoSpaceDE w:val="0"/>
              <w:autoSpaceDN w:val="0"/>
              <w:adjustRightInd w:val="0"/>
              <w:spacing w:after="0" w:line="240" w:lineRule="auto"/>
              <w:rPr>
                <w:rFonts w:ascii="Times New Roman" w:hAnsi="Times New Roman" w:cs="Times New Roman"/>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8.3</w:t>
            </w:r>
          </w:p>
        </w:tc>
        <w:tc>
          <w:tcPr>
            <w:tcW w:w="1135" w:type="pct"/>
          </w:tcPr>
          <w:p w:rsid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Объекты, необходимые для подготовки и поддержания в готовности органов внутренних дел и спасательных служб; объекты гражданской обороны, за исключением объектов гражданской обороны, являющихся частями производственных зданий; опорный пункт полиции</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p>
        </w:tc>
        <w:tc>
          <w:tcPr>
            <w:tcW w:w="1270"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sz w:val="27"/>
                <w:szCs w:val="27"/>
              </w:rPr>
              <w:t>−</w:t>
            </w:r>
          </w:p>
        </w:tc>
        <w:tc>
          <w:tcPr>
            <w:tcW w:w="1342" w:type="pct"/>
          </w:tcPr>
          <w:p w:rsidR="006B355F" w:rsidRPr="006B355F" w:rsidRDefault="006B355F" w:rsidP="006B355F">
            <w:pPr>
              <w:spacing w:after="0" w:line="240" w:lineRule="auto"/>
              <w:jc w:val="center"/>
              <w:rPr>
                <w:rFonts w:ascii="Times New Roman" w:hAnsi="Times New Roman" w:cs="Times New Roman"/>
                <w:sz w:val="27"/>
                <w:szCs w:val="27"/>
              </w:rPr>
            </w:pPr>
            <w:r w:rsidRPr="006B355F">
              <w:rPr>
                <w:rFonts w:ascii="Times New Roman" w:hAnsi="Times New Roman" w:cs="Times New Roman"/>
                <w:sz w:val="27"/>
                <w:szCs w:val="27"/>
              </w:rPr>
              <w:t>−</w:t>
            </w:r>
          </w:p>
        </w:tc>
      </w:tr>
      <w:tr w:rsidR="006B355F" w:rsidRPr="006B355F" w:rsidTr="0036150C">
        <w:tc>
          <w:tcPr>
            <w:tcW w:w="941"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bCs/>
                <w:sz w:val="27"/>
                <w:szCs w:val="27"/>
              </w:rPr>
              <w:t xml:space="preserve">20. </w:t>
            </w:r>
            <w:r w:rsidRPr="006B355F">
              <w:rPr>
                <w:rFonts w:ascii="Times New Roman" w:hAnsi="Times New Roman" w:cs="Times New Roman"/>
                <w:sz w:val="27"/>
                <w:szCs w:val="27"/>
              </w:rPr>
              <w:t>Земельные участки (территории) общего пользования</w:t>
            </w:r>
          </w:p>
          <w:p w:rsidR="006B355F" w:rsidRPr="006B355F" w:rsidRDefault="006B355F" w:rsidP="006B355F">
            <w:pPr>
              <w:autoSpaceDE w:val="0"/>
              <w:autoSpaceDN w:val="0"/>
              <w:adjustRightInd w:val="0"/>
              <w:spacing w:after="0" w:line="240" w:lineRule="auto"/>
              <w:rPr>
                <w:rFonts w:ascii="Times New Roman" w:hAnsi="Times New Roman" w:cs="Times New Roman"/>
                <w:bCs/>
                <w:sz w:val="27"/>
                <w:szCs w:val="27"/>
              </w:rPr>
            </w:pPr>
          </w:p>
        </w:tc>
        <w:tc>
          <w:tcPr>
            <w:tcW w:w="31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12.0</w:t>
            </w:r>
          </w:p>
        </w:tc>
        <w:tc>
          <w:tcPr>
            <w:tcW w:w="1135"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Размещение объектов улично-дорожной сети; автомобильные дороги и пешеходные тротуары; пешеходных переходов; набережные; береговые полосы водных объектов общего пользования; скверы; бульвары; площади; проезды</w:t>
            </w:r>
          </w:p>
        </w:tc>
        <w:tc>
          <w:tcPr>
            <w:tcW w:w="1270" w:type="pct"/>
          </w:tcPr>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Малые архитектурные формы благоустройства</w:t>
            </w:r>
          </w:p>
        </w:tc>
        <w:tc>
          <w:tcPr>
            <w:tcW w:w="1342" w:type="pct"/>
          </w:tcPr>
          <w:p w:rsidR="006B355F" w:rsidRPr="006B355F" w:rsidRDefault="006B355F" w:rsidP="006B355F">
            <w:pPr>
              <w:autoSpaceDE w:val="0"/>
              <w:autoSpaceDN w:val="0"/>
              <w:adjustRightInd w:val="0"/>
              <w:spacing w:after="0" w:line="240" w:lineRule="auto"/>
              <w:jc w:val="center"/>
              <w:rPr>
                <w:rFonts w:ascii="Times New Roman" w:hAnsi="Times New Roman" w:cs="Times New Roman"/>
                <w:bCs/>
                <w:sz w:val="27"/>
                <w:szCs w:val="27"/>
              </w:rPr>
            </w:pPr>
            <w:r w:rsidRPr="006B355F">
              <w:rPr>
                <w:rFonts w:ascii="Times New Roman" w:hAnsi="Times New Roman" w:cs="Times New Roman"/>
                <w:bCs/>
                <w:sz w:val="27"/>
                <w:szCs w:val="27"/>
              </w:rPr>
              <w:t>−</w:t>
            </w:r>
          </w:p>
        </w:tc>
      </w:tr>
      <w:bookmarkEnd w:id="8"/>
    </w:tbl>
    <w:p w:rsidR="006B355F" w:rsidRPr="006B355F" w:rsidRDefault="006B355F" w:rsidP="006B355F">
      <w:pPr>
        <w:pStyle w:val="11"/>
        <w:tabs>
          <w:tab w:val="left" w:pos="1080"/>
        </w:tabs>
        <w:spacing w:before="0" w:beforeAutospacing="0" w:after="0" w:afterAutospacing="0"/>
        <w:jc w:val="both"/>
        <w:rPr>
          <w:b w:val="0"/>
          <w:caps w:val="0"/>
          <w:sz w:val="27"/>
          <w:szCs w:val="27"/>
        </w:rPr>
      </w:pPr>
    </w:p>
    <w:p w:rsidR="006B355F" w:rsidRPr="006B355F" w:rsidRDefault="006B355F" w:rsidP="006B355F">
      <w:pPr>
        <w:pStyle w:val="11"/>
        <w:tabs>
          <w:tab w:val="left" w:pos="1080"/>
        </w:tabs>
        <w:spacing w:before="0" w:beforeAutospacing="0" w:after="0" w:afterAutospacing="0"/>
        <w:jc w:val="both"/>
        <w:rPr>
          <w:b w:val="0"/>
          <w:caps w:val="0"/>
          <w:sz w:val="28"/>
        </w:rPr>
      </w:pPr>
      <w:r w:rsidRPr="006B355F">
        <w:rPr>
          <w:b w:val="0"/>
          <w:caps w:val="0"/>
          <w:noProof/>
          <w:sz w:val="28"/>
        </w:rPr>
        <mc:AlternateContent>
          <mc:Choice Requires="wps">
            <w:drawing>
              <wp:anchor distT="0" distB="0" distL="114300" distR="114300" simplePos="0" relativeHeight="251659264" behindDoc="0" locked="0" layoutInCell="1" allowOverlap="1" wp14:anchorId="4E3D4CCC" wp14:editId="20B80F72">
                <wp:simplePos x="0" y="0"/>
                <wp:positionH relativeFrom="column">
                  <wp:posOffset>-35560</wp:posOffset>
                </wp:positionH>
                <wp:positionV relativeFrom="paragraph">
                  <wp:posOffset>1905</wp:posOffset>
                </wp:positionV>
                <wp:extent cx="3907155" cy="0"/>
                <wp:effectExtent l="8255" t="12700" r="8890"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pt;margin-top:.15pt;width:30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"/>
            </w:pict>
          </mc:Fallback>
        </mc:AlternateContent>
      </w:r>
    </w:p>
    <w:p w:rsidR="006B355F" w:rsidRPr="006B355F" w:rsidRDefault="006B355F" w:rsidP="006B355F">
      <w:pPr>
        <w:pStyle w:val="11"/>
        <w:tabs>
          <w:tab w:val="left" w:pos="1080"/>
        </w:tabs>
        <w:spacing w:before="0" w:beforeAutospacing="0" w:after="0" w:afterAutospacing="0"/>
        <w:jc w:val="both"/>
        <w:rPr>
          <w:b w:val="0"/>
          <w:bCs w:val="0"/>
          <w:caps w:val="0"/>
          <w:sz w:val="27"/>
          <w:szCs w:val="27"/>
        </w:rPr>
      </w:pPr>
      <w:r w:rsidRPr="006B355F">
        <w:rPr>
          <w:b w:val="0"/>
          <w:caps w:val="0"/>
          <w:sz w:val="27"/>
          <w:szCs w:val="27"/>
        </w:rPr>
        <w:t>* Жилые дома высотой не выше восьми надземных этажей, разделенных на две и более квартиры.</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b/>
          <w:caps/>
          <w:sz w:val="27"/>
          <w:szCs w:val="27"/>
        </w:rPr>
        <w:t>**</w:t>
      </w:r>
      <w:r w:rsidRPr="006B355F">
        <w:rPr>
          <w:rFonts w:ascii="Times New Roman" w:hAnsi="Times New Roman" w:cs="Times New Roman"/>
          <w:bCs/>
          <w:sz w:val="27"/>
          <w:szCs w:val="27"/>
        </w:rPr>
        <w:t xml:space="preserve"> </w:t>
      </w:r>
      <w:r w:rsidRPr="006B355F">
        <w:rPr>
          <w:rFonts w:ascii="Times New Roman" w:hAnsi="Times New Roman" w:cs="Times New Roman"/>
          <w:sz w:val="27"/>
          <w:szCs w:val="27"/>
        </w:rPr>
        <w:t xml:space="preserve">При условии </w:t>
      </w:r>
      <w:r w:rsidRPr="006B355F">
        <w:rPr>
          <w:rFonts w:ascii="Times New Roman" w:hAnsi="Times New Roman" w:cs="Times New Roman"/>
          <w:bCs/>
          <w:sz w:val="27"/>
          <w:szCs w:val="27"/>
        </w:rPr>
        <w:t xml:space="preserve">если общая площадь таких помещений в многоквартирном доме не составляет более 20% общей площади помещений дома и </w:t>
      </w:r>
      <w:r w:rsidRPr="006B355F">
        <w:rPr>
          <w:rFonts w:ascii="Times New Roman" w:hAnsi="Times New Roman" w:cs="Times New Roman"/>
          <w:sz w:val="27"/>
          <w:szCs w:val="27"/>
        </w:rPr>
        <w:t>если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6B355F" w:rsidRPr="006B355F" w:rsidRDefault="006B355F" w:rsidP="006B355F">
      <w:pPr>
        <w:autoSpaceDE w:val="0"/>
        <w:autoSpaceDN w:val="0"/>
        <w:adjustRightInd w:val="0"/>
        <w:spacing w:after="0" w:line="240" w:lineRule="auto"/>
        <w:jc w:val="both"/>
        <w:rPr>
          <w:rFonts w:ascii="Times New Roman" w:hAnsi="Times New Roman" w:cs="Times New Roman"/>
          <w:bCs/>
          <w:sz w:val="27"/>
          <w:szCs w:val="27"/>
        </w:rPr>
      </w:pPr>
      <w:r w:rsidRPr="006B355F">
        <w:rPr>
          <w:rFonts w:ascii="Times New Roman" w:hAnsi="Times New Roman" w:cs="Times New Roman"/>
          <w:sz w:val="27"/>
          <w:szCs w:val="27"/>
        </w:rPr>
        <w:t>***</w:t>
      </w:r>
      <w:r w:rsidRPr="006B355F">
        <w:rPr>
          <w:rFonts w:ascii="Times New Roman" w:hAnsi="Times New Roman" w:cs="Times New Roman"/>
          <w:bCs/>
          <w:sz w:val="27"/>
          <w:szCs w:val="27"/>
        </w:rPr>
        <w:t xml:space="preserve"> Жилые дома высотой девять и выше этажей, включая подземные, разделенных на двадцать и более квартир.</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 xml:space="preserve">**** При условии размещения </w:t>
      </w:r>
      <w:r w:rsidRPr="006B355F">
        <w:rPr>
          <w:rFonts w:ascii="Times New Roman" w:hAnsi="Times New Roman" w:cs="Times New Roman"/>
          <w:bCs/>
          <w:sz w:val="27"/>
          <w:szCs w:val="27"/>
        </w:rPr>
        <w:t xml:space="preserve">в отдельных помещениях дома, если площадь таких помещений в многоквартирном доме не составляет более 15% от общей площади дома и </w:t>
      </w:r>
      <w:r w:rsidRPr="006B355F">
        <w:rPr>
          <w:rFonts w:ascii="Times New Roman" w:hAnsi="Times New Roman" w:cs="Times New Roman"/>
          <w:sz w:val="27"/>
          <w:szCs w:val="27"/>
        </w:rPr>
        <w:t>если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r w:rsidRPr="006B355F">
        <w:rPr>
          <w:rFonts w:ascii="Times New Roman" w:hAnsi="Times New Roman" w:cs="Times New Roman"/>
          <w:bCs/>
          <w:sz w:val="27"/>
          <w:szCs w:val="27"/>
        </w:rPr>
        <w:t>.</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 Действие данного пункта распространяется только на существующие (ранее построенные) гаражи и при предоставлении земельных участков для размещения гаража с учетом потребностей инвалидов в соответствии с требованиями действующего законодательства.</w:t>
      </w:r>
    </w:p>
    <w:p w:rsidR="006B355F" w:rsidRPr="006B355F" w:rsidRDefault="006B355F" w:rsidP="006B355F">
      <w:pPr>
        <w:autoSpaceDE w:val="0"/>
        <w:autoSpaceDN w:val="0"/>
        <w:adjustRightInd w:val="0"/>
        <w:spacing w:after="0" w:line="240" w:lineRule="auto"/>
        <w:jc w:val="both"/>
        <w:rPr>
          <w:rFonts w:ascii="Times New Roman" w:hAnsi="Times New Roman" w:cs="Times New Roman"/>
          <w:sz w:val="27"/>
          <w:szCs w:val="27"/>
        </w:rPr>
      </w:pPr>
      <w:r w:rsidRPr="006B355F">
        <w:rPr>
          <w:rFonts w:ascii="Times New Roman" w:hAnsi="Times New Roman" w:cs="Times New Roman"/>
          <w:sz w:val="27"/>
          <w:szCs w:val="27"/>
        </w:rPr>
        <w:t>******Допускается при условии,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6B355F" w:rsidRPr="006B355F" w:rsidRDefault="006B355F" w:rsidP="006B355F">
      <w:pPr>
        <w:pStyle w:val="11"/>
        <w:tabs>
          <w:tab w:val="left" w:pos="1080"/>
        </w:tabs>
        <w:spacing w:before="0" w:beforeAutospacing="0" w:after="0" w:afterAutospacing="0"/>
        <w:jc w:val="both"/>
        <w:rPr>
          <w:b w:val="0"/>
          <w:caps w:val="0"/>
          <w:sz w:val="27"/>
          <w:szCs w:val="27"/>
        </w:rPr>
      </w:pPr>
    </w:p>
    <w:p w:rsidR="00C72399" w:rsidRPr="006B355F" w:rsidRDefault="00C72399" w:rsidP="006B355F">
      <w:pPr>
        <w:spacing w:after="0" w:line="240" w:lineRule="auto"/>
        <w:rPr>
          <w:rFonts w:ascii="Times New Roman" w:hAnsi="Times New Roman" w:cs="Times New Roman"/>
          <w:sz w:val="27"/>
          <w:szCs w:val="27"/>
        </w:rPr>
      </w:pPr>
    </w:p>
    <w:sectPr w:rsidR="00C72399" w:rsidRPr="006B355F" w:rsidSect="006B355F">
      <w:headerReference w:type="even" r:id="rId21"/>
      <w:headerReference w:type="default" r:id="rId22"/>
      <w:pgSz w:w="16838" w:h="11906" w:orient="landscape"/>
      <w:pgMar w:top="56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44" w:rsidRDefault="00D07C44" w:rsidP="006B355F">
      <w:pPr>
        <w:spacing w:after="0" w:line="240" w:lineRule="auto"/>
      </w:pPr>
      <w:r>
        <w:separator/>
      </w:r>
    </w:p>
  </w:endnote>
  <w:endnote w:type="continuationSeparator" w:id="0">
    <w:p w:rsidR="00D07C44" w:rsidRDefault="00D07C44"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44" w:rsidRDefault="00D07C44" w:rsidP="006B355F">
      <w:pPr>
        <w:spacing w:after="0" w:line="240" w:lineRule="auto"/>
      </w:pPr>
      <w:r>
        <w:separator/>
      </w:r>
    </w:p>
  </w:footnote>
  <w:footnote w:type="continuationSeparator" w:id="0">
    <w:p w:rsidR="00D07C44" w:rsidRDefault="00D07C44"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D07C44"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D07C44"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83B5D"/>
    <w:rsid w:val="004B2491"/>
    <w:rsid w:val="005738AF"/>
    <w:rsid w:val="00617DFA"/>
    <w:rsid w:val="006B355F"/>
    <w:rsid w:val="00A07356"/>
    <w:rsid w:val="00C72399"/>
    <w:rsid w:val="00CC509C"/>
    <w:rsid w:val="00D07C44"/>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AB175D54370B9B52B2E86BCDF811E43E4816DD3DF0737F6B93780125C66AD96F475743942598FD53D8127019DE557CACB1EAFB3C62D3U323X" TargetMode="External"/><Relationship Id="rId18" Type="http://schemas.openxmlformats.org/officeDocument/2006/relationships/hyperlink" Target="consultantplus://offline/ref=7DDA2FD6621139F2613C9B7CF631F84444956595E590B6CEC33B03E0F39ACD072FFDA1A532DAE0D5FFCC0CA95FF7B3E73DB932D714A56C9AF8B7E64FNES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AB175D54370B9B52B2E86BCDF811E43E4816DD3DF0737F6B93780125C66AD96F475743942598FD53D8127019DE557CACB1EAFB3C62D3U323X" TargetMode="External"/><Relationship Id="rId17" Type="http://schemas.openxmlformats.org/officeDocument/2006/relationships/hyperlink" Target="consultantplus://offline/ref=7DDA2FD6621139F2613C8571E05DA641459E3A90ED90BF98986C05B7ACCACB526FBDA7F0719EEDD4FDC658F812A9EAB771F23FD402B96C9ANES6A" TargetMode="External"/><Relationship Id="rId2" Type="http://schemas.microsoft.com/office/2007/relationships/stylesWithEffects" Target="stylesWithEffects.xml"/><Relationship Id="rId16" Type="http://schemas.openxmlformats.org/officeDocument/2006/relationships/hyperlink" Target="consultantplus://offline/ref=7DDA2FD6621139F2613C9B7CF631F84444956595E590B6CEC33B03E0F39ACD072FFDA1A532DAE0D5FFCD05AF57F7B3E73DB932D714A56C9AF8B7E64FNESCA" TargetMode="External"/><Relationship Id="rId20" Type="http://schemas.openxmlformats.org/officeDocument/2006/relationships/hyperlink" Target="consultantplus://offline/ref=7DDA2FD6621139F2613C9B7CF631F84444956595E590B6CEC33B03E0F39ACD072FFDA1A532DAE0D5FFCC0CAE55F7B3E73DB932D714A56C9AF8B7E64FNESC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B175D54370B9B52B2E86BCDF811E43E491AD93AF1757F6B93780125C66AD96F475743972290FF598848601D970179B3B9F6E53C7CD333DCU12F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DDA2FD6621139F2613C8571E05DA641459E3A90ED90BF98986C05B7ACCACB526FBDA7F0719EEDD4FDC658F812A9EAB771F23FD402B96C9ANES6A" TargetMode="External"/><Relationship Id="rId23" Type="http://schemas.openxmlformats.org/officeDocument/2006/relationships/fontTable" Target="fontTable.xml"/><Relationship Id="rId10" Type="http://schemas.openxmlformats.org/officeDocument/2006/relationships/hyperlink" Target="consultantplus://offline/ref=AB175D54370B9B52B2E86BCDF811E43E4816DD3DF0737F6B93780125C66AD96F475743942390FA53D8127019DE557CACB1EAFB3C62D3U323X" TargetMode="External"/><Relationship Id="rId19" Type="http://schemas.openxmlformats.org/officeDocument/2006/relationships/hyperlink" Target="consultantplus://offline/ref=7DDA2FD6621139F2613C9B7CF631F84444956595E590B6CEC33B03E0F39ACD072FFDA1A532DAE0D5FFCD0AAA51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AB175D54370B9B52B2E86BCDF811E43E4910DF35F3757F6B93780125C66AD96F55571B9B2398E0588E5D364CD1U524X" TargetMode="External"/><Relationship Id="rId14" Type="http://schemas.openxmlformats.org/officeDocument/2006/relationships/hyperlink" Target="consultantplus://offline/ref=7DDA2FD6621139F2613C9B7CF631F84444956595E590B6CEC33B03E0F39ACD072FFDA1A532DAE0D5FFCD05A851F7B3E73DB932D714A56C9AF8B7E64FNESCA"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6686</Words>
  <Characters>38111</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39. Порядок предоставления разрешения на условно разрешенный вид использо</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36. Жилые зоны</vt:lpstr>
      <vt:lpstr>Нормативный правовой акт города Тынды от 15.12.2015 № 44-НПА «О Правилах землепо</vt:lpstr>
      <vt:lpstr/>
      <vt:lpstr>Таблица 4</vt:lpstr>
      <vt:lpstr/>
      <vt:lpstr>/</vt:lpstr>
      <vt:lpstr>* Жилые дома высотой не выше восьми надземных этажей, разделенных на две и более</vt:lpstr>
      <vt:lpstr/>
    </vt:vector>
  </TitlesOfParts>
  <Company>SPecialiST RePack</Company>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5</cp:revision>
  <cp:lastPrinted>2020-02-18T01:23:00Z</cp:lastPrinted>
  <dcterms:created xsi:type="dcterms:W3CDTF">2020-02-17T23:48:00Z</dcterms:created>
  <dcterms:modified xsi:type="dcterms:W3CDTF">2020-02-18T23:17:00Z</dcterms:modified>
</cp:coreProperties>
</file>