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E30" w:rsidRDefault="00281E30" w:rsidP="00281E3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ОСНОВНЫЕ НАПРАВЛЕНИЯ НАЛОГОВОЙ, БЮДЖЕТНОЙ и ДОЛГОВОЙ  ПОЛИТИКИ </w:t>
      </w:r>
      <w:r w:rsidR="005D4D75">
        <w:rPr>
          <w:b/>
          <w:bCs/>
          <w:color w:val="000000"/>
          <w:sz w:val="28"/>
          <w:szCs w:val="28"/>
        </w:rPr>
        <w:t xml:space="preserve">ГОРОДА ТЫНДЫ </w:t>
      </w:r>
      <w:r>
        <w:rPr>
          <w:b/>
          <w:bCs/>
          <w:color w:val="000000"/>
          <w:sz w:val="28"/>
          <w:szCs w:val="28"/>
        </w:rPr>
        <w:t>АМУРСКОЙ ОБЛАСТИ НА 2021 ГОД и ПЛАНОВЫЙ ПЕРИОД 2022 и 2023 ГОДОВ</w:t>
      </w:r>
    </w:p>
    <w:p w:rsidR="00281E30" w:rsidRDefault="00281E30" w:rsidP="00281E30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</w:p>
    <w:p w:rsidR="00281E30" w:rsidRDefault="00281E30" w:rsidP="00281E3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Целью основных направлений налоговой, бюджетной и долговой  политики </w:t>
      </w:r>
      <w:r w:rsidR="005D4D75">
        <w:rPr>
          <w:bCs/>
          <w:color w:val="000000"/>
          <w:sz w:val="28"/>
          <w:szCs w:val="28"/>
        </w:rPr>
        <w:t>города Тынды</w:t>
      </w:r>
      <w:r>
        <w:rPr>
          <w:bCs/>
          <w:color w:val="000000"/>
          <w:sz w:val="28"/>
          <w:szCs w:val="28"/>
        </w:rPr>
        <w:t xml:space="preserve"> на 2021-2023 годы  является определение условий, используемых при составлении проекта </w:t>
      </w:r>
      <w:r w:rsidR="002D5499">
        <w:rPr>
          <w:bCs/>
          <w:color w:val="000000"/>
          <w:sz w:val="28"/>
          <w:szCs w:val="28"/>
        </w:rPr>
        <w:t>городского</w:t>
      </w:r>
      <w:r>
        <w:rPr>
          <w:bCs/>
          <w:color w:val="000000"/>
          <w:sz w:val="28"/>
          <w:szCs w:val="28"/>
        </w:rPr>
        <w:t xml:space="preserve"> бюджета на 2021-2023 годы, основных подходов к его формированию и общего порядка разработки основных характеристик  и прогнозируемых параметров </w:t>
      </w:r>
      <w:r w:rsidR="002D5499">
        <w:rPr>
          <w:bCs/>
          <w:color w:val="000000"/>
          <w:sz w:val="28"/>
          <w:szCs w:val="28"/>
        </w:rPr>
        <w:t>городского</w:t>
      </w:r>
      <w:r>
        <w:rPr>
          <w:bCs/>
          <w:color w:val="000000"/>
          <w:sz w:val="28"/>
          <w:szCs w:val="28"/>
        </w:rPr>
        <w:t xml:space="preserve"> бюджета, а также обеспечение прозрачности и открытости бюджетного планирования.</w:t>
      </w:r>
    </w:p>
    <w:p w:rsidR="00281E30" w:rsidRDefault="00281E30" w:rsidP="00281E3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Бюджетная политика </w:t>
      </w:r>
      <w:r w:rsidR="002D5499">
        <w:rPr>
          <w:bCs/>
          <w:color w:val="000000"/>
          <w:sz w:val="28"/>
          <w:szCs w:val="28"/>
        </w:rPr>
        <w:t xml:space="preserve">города Тынды </w:t>
      </w:r>
      <w:r>
        <w:rPr>
          <w:bCs/>
          <w:color w:val="000000"/>
          <w:sz w:val="28"/>
          <w:szCs w:val="28"/>
        </w:rPr>
        <w:t xml:space="preserve">  (далее – бюджетная политика) направлена на адаптацию бюджетных ресурсов к новым экономическим реалиям с целью сохранения социальной и финансовой стабильности в </w:t>
      </w:r>
      <w:r w:rsidR="002D5499">
        <w:rPr>
          <w:bCs/>
          <w:color w:val="000000"/>
          <w:sz w:val="28"/>
          <w:szCs w:val="28"/>
        </w:rPr>
        <w:t>городе</w:t>
      </w:r>
      <w:r>
        <w:rPr>
          <w:bCs/>
          <w:color w:val="000000"/>
          <w:sz w:val="28"/>
          <w:szCs w:val="28"/>
        </w:rPr>
        <w:t>, создание условий для устойчивого социально-экономического развития</w:t>
      </w:r>
      <w:r w:rsidR="002D5499">
        <w:rPr>
          <w:bCs/>
          <w:color w:val="000000"/>
          <w:sz w:val="28"/>
          <w:szCs w:val="28"/>
        </w:rPr>
        <w:t>.</w:t>
      </w:r>
    </w:p>
    <w:p w:rsidR="00281E30" w:rsidRDefault="00281E30" w:rsidP="00281E3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 приоритетах бюджетной </w:t>
      </w:r>
      <w:proofErr w:type="gramStart"/>
      <w:r>
        <w:rPr>
          <w:bCs/>
          <w:color w:val="000000"/>
          <w:sz w:val="28"/>
          <w:szCs w:val="28"/>
        </w:rPr>
        <w:t>политики на</w:t>
      </w:r>
      <w:proofErr w:type="gramEnd"/>
      <w:r>
        <w:rPr>
          <w:bCs/>
          <w:color w:val="000000"/>
          <w:sz w:val="28"/>
          <w:szCs w:val="28"/>
        </w:rPr>
        <w:t xml:space="preserve"> среднесрочный период сохраняется обеспечение стабильности  местн</w:t>
      </w:r>
      <w:r w:rsidR="00E36514">
        <w:rPr>
          <w:bCs/>
          <w:color w:val="000000"/>
          <w:sz w:val="28"/>
          <w:szCs w:val="28"/>
        </w:rPr>
        <w:t>ого</w:t>
      </w:r>
      <w:r>
        <w:rPr>
          <w:bCs/>
          <w:color w:val="000000"/>
          <w:sz w:val="28"/>
          <w:szCs w:val="28"/>
        </w:rPr>
        <w:t xml:space="preserve"> бюджет</w:t>
      </w:r>
      <w:r w:rsidR="00E36514">
        <w:rPr>
          <w:bCs/>
          <w:color w:val="000000"/>
          <w:sz w:val="28"/>
          <w:szCs w:val="28"/>
        </w:rPr>
        <w:t>а</w:t>
      </w:r>
      <w:r>
        <w:rPr>
          <w:bCs/>
          <w:color w:val="000000"/>
          <w:sz w:val="28"/>
          <w:szCs w:val="28"/>
        </w:rPr>
        <w:t>, формирующей условия для устойчивого экономического роста, а также исполнение принятых расходных обязательств наиболее эффективным способом, мобилизация внутренних источников, более четкая увязка бюджетных расходов и повышение их влияния на достижение установленных целей.</w:t>
      </w:r>
    </w:p>
    <w:p w:rsidR="00281E30" w:rsidRDefault="00281E30" w:rsidP="00281E3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Исходя из принципа ответственной бюджетной политики, для поддержания сбалансированности </w:t>
      </w:r>
      <w:r w:rsidR="00E36514">
        <w:rPr>
          <w:bCs/>
          <w:color w:val="000000"/>
          <w:sz w:val="28"/>
          <w:szCs w:val="28"/>
        </w:rPr>
        <w:t>городского</w:t>
      </w:r>
      <w:r>
        <w:rPr>
          <w:bCs/>
          <w:color w:val="000000"/>
          <w:sz w:val="28"/>
          <w:szCs w:val="28"/>
        </w:rPr>
        <w:t xml:space="preserve"> бюджета при его формировании будут приняты меры по включению в бюджет в первоочередном порядке расходов на финансирование действующих расходных обязательств, сокращению неэффективных расходов.</w:t>
      </w:r>
    </w:p>
    <w:p w:rsidR="00281E30" w:rsidRDefault="00281E30" w:rsidP="00281E3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81E30" w:rsidRDefault="00281E30" w:rsidP="00281E30">
      <w:pPr>
        <w:pStyle w:val="ConsPlusTitle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направления налоговой политики </w:t>
      </w:r>
      <w:r w:rsidR="00151C9B">
        <w:rPr>
          <w:rFonts w:ascii="Times New Roman" w:hAnsi="Times New Roman" w:cs="Times New Roman"/>
          <w:sz w:val="28"/>
          <w:szCs w:val="28"/>
        </w:rPr>
        <w:t>города Тынды</w:t>
      </w:r>
      <w:r>
        <w:rPr>
          <w:rFonts w:ascii="Times New Roman" w:hAnsi="Times New Roman" w:cs="Times New Roman"/>
          <w:sz w:val="28"/>
          <w:szCs w:val="28"/>
        </w:rPr>
        <w:t xml:space="preserve"> на 2021 год и плановый период 2022 и 2023 годов</w:t>
      </w:r>
    </w:p>
    <w:p w:rsidR="00281E30" w:rsidRDefault="00281E30" w:rsidP="00281E30">
      <w:pPr>
        <w:shd w:val="clear" w:color="auto" w:fill="FFFFFF"/>
        <w:ind w:firstLine="709"/>
        <w:jc w:val="both"/>
        <w:rPr>
          <w:bCs/>
          <w:color w:val="000000"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политика - один из основных инструментов регулирования </w:t>
      </w:r>
      <w:proofErr w:type="gramStart"/>
      <w:r>
        <w:rPr>
          <w:sz w:val="28"/>
          <w:szCs w:val="28"/>
        </w:rPr>
        <w:t>экономических процессов</w:t>
      </w:r>
      <w:proofErr w:type="gramEnd"/>
      <w:r>
        <w:rPr>
          <w:sz w:val="28"/>
          <w:szCs w:val="28"/>
        </w:rPr>
        <w:t>, представляет собой систему целенаправленных действий  в области налогообложения на основе экономических, правовых и организационно-контрольных мероприятий.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Основные направления налоговой политики  на 2021 год и плановый период 2022 и 2023 годов (далее – Основные направления налоговой политики) разработаны в соответствии со статьями 172, 184.2 Бюджетного кодекса Российской Федерации, </w:t>
      </w:r>
      <w:r w:rsidR="00C54884">
        <w:rPr>
          <w:sz w:val="28"/>
          <w:szCs w:val="28"/>
        </w:rPr>
        <w:t xml:space="preserve">с Решением </w:t>
      </w:r>
      <w:proofErr w:type="spellStart"/>
      <w:r w:rsidR="00C54884">
        <w:rPr>
          <w:sz w:val="28"/>
          <w:szCs w:val="28"/>
        </w:rPr>
        <w:t>Тындинской</w:t>
      </w:r>
      <w:proofErr w:type="spellEnd"/>
      <w:r w:rsidR="00C54884">
        <w:rPr>
          <w:sz w:val="28"/>
          <w:szCs w:val="28"/>
        </w:rPr>
        <w:t xml:space="preserve"> городской Думы «О нормативном правовом акте города Тынды «</w:t>
      </w:r>
      <w:r>
        <w:rPr>
          <w:sz w:val="28"/>
          <w:szCs w:val="28"/>
        </w:rPr>
        <w:t xml:space="preserve">№ </w:t>
      </w:r>
      <w:r w:rsidR="00C54884">
        <w:rPr>
          <w:sz w:val="28"/>
          <w:szCs w:val="28"/>
        </w:rPr>
        <w:t>23-НПА от 28.09.2019</w:t>
      </w:r>
      <w:r>
        <w:rPr>
          <w:sz w:val="28"/>
          <w:szCs w:val="28"/>
        </w:rPr>
        <w:t xml:space="preserve"> «О бюджетном процессе в </w:t>
      </w:r>
      <w:r w:rsidR="00C54884">
        <w:rPr>
          <w:sz w:val="28"/>
          <w:szCs w:val="28"/>
        </w:rPr>
        <w:t>городе Тынде</w:t>
      </w:r>
      <w:r>
        <w:rPr>
          <w:sz w:val="28"/>
          <w:szCs w:val="28"/>
        </w:rPr>
        <w:t>» исходя из приоритетов, определенных документами:</w:t>
      </w:r>
      <w:proofErr w:type="gramEnd"/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Федерального уровня: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Посланием Президента Российской Федерации Федеральному Собранию Российской Федерации на 2020 год от 15.01.2020;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Указом Президента Российской Федерации от 07.05.2018 № 204 «О национальных целях и стратегических задачах развития Российской Федерации на период до 2024 года»;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Указом Президента РФ от 25.04.2019 № 193 «Об оценке эффективности деятельности высших должностных лиц (руководителей высших исполнительных органов государственной власти) субъектов Российской Федерации и деятельности органов исполнительной власти субъектов Российской Федерации»;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Указом Президента Российской Федерации от 26.06.2020 № 427 </w:t>
      </w:r>
      <w:r>
        <w:rPr>
          <w:sz w:val="28"/>
          <w:szCs w:val="28"/>
        </w:rPr>
        <w:br/>
        <w:t>«О мерах по социально – экономическому развитию Дальнего Востока»;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Указом Президента Российской Федерации от 21.07.2020 № 474 </w:t>
      </w:r>
      <w:r>
        <w:rPr>
          <w:sz w:val="28"/>
          <w:szCs w:val="28"/>
        </w:rPr>
        <w:br/>
        <w:t>«О национальных целях развития Российской Федерации на период до 2030 года»;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Общенационального плана действий, обеспечивающих восстановление занятости и доходов населения, рост экономики и долгосрочные структурные изменения от 18.06.2020;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Национальными проектами и федеральными проектами.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Регионального уровня: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Стратегией социально-экономического развития Амурской области на период до 2025 года, утвержденной постановлением Правительства области от 13.07.2012 № 380;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Комплексным планом социально-экономического развития Амурской области до 2025 года, утвержденным распоряжением Правительства Амурской области от 31.01.2018 № 12-р;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Планом социального развития центров экономического роста Амурской области, утвержденным распоряжением Правительства Амурской области от 29.06.2018 № 80-р;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Региональным планом первоочередных мероприятий (действий) по обеспечению устойчивого развития экономики Амурской области, утвержденным Правительством Амурской области от 07.04.2020 № 55-р;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Распоряжением Правительства Амурской области от 02.03.2020 № 27-р «Об утверждении Плана мероприятий по исполнению соглашения о мерах по социально-экономическому развитию и оздоровлению государственных финансов Амурской области в 2020 году»;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Региональными проектами.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формировании Основных направлений налоговой политики учитывались: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приоритеты государственных </w:t>
      </w:r>
      <w:r w:rsidR="005149A3">
        <w:rPr>
          <w:sz w:val="28"/>
          <w:szCs w:val="28"/>
        </w:rPr>
        <w:t xml:space="preserve">и муниципальных </w:t>
      </w:r>
      <w:r>
        <w:rPr>
          <w:sz w:val="28"/>
          <w:szCs w:val="28"/>
        </w:rPr>
        <w:t>программ и подпрограмм в экономике и социальной сфере;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обязательства Соглашения о мерах по социально экономическому развитию и оздоровлению </w:t>
      </w:r>
      <w:r w:rsidR="005149A3">
        <w:rPr>
          <w:sz w:val="28"/>
          <w:szCs w:val="28"/>
        </w:rPr>
        <w:t>муниципальных города Тынды Амурской области</w:t>
      </w:r>
      <w:r>
        <w:rPr>
          <w:sz w:val="28"/>
          <w:szCs w:val="28"/>
        </w:rPr>
        <w:t xml:space="preserve"> от </w:t>
      </w:r>
      <w:r w:rsidR="005149A3">
        <w:rPr>
          <w:sz w:val="28"/>
          <w:szCs w:val="28"/>
        </w:rPr>
        <w:t>14</w:t>
      </w:r>
      <w:r>
        <w:rPr>
          <w:sz w:val="28"/>
          <w:szCs w:val="28"/>
        </w:rPr>
        <w:t>.01.2020 № 0</w:t>
      </w:r>
      <w:r w:rsidR="005149A3">
        <w:rPr>
          <w:sz w:val="28"/>
          <w:szCs w:val="28"/>
        </w:rPr>
        <w:t>2-м-16/06</w:t>
      </w:r>
      <w:r>
        <w:rPr>
          <w:sz w:val="28"/>
          <w:szCs w:val="28"/>
        </w:rPr>
        <w:t xml:space="preserve">, заключенного между Министерством финансов </w:t>
      </w:r>
      <w:r w:rsidR="005149A3">
        <w:rPr>
          <w:sz w:val="28"/>
          <w:szCs w:val="28"/>
        </w:rPr>
        <w:t>Амурской области и городом Тындой</w:t>
      </w:r>
      <w:r>
        <w:rPr>
          <w:sz w:val="28"/>
          <w:szCs w:val="28"/>
        </w:rPr>
        <w:t xml:space="preserve">.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цели и задачи налоговой политики на 2021-2023 годы: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Сохраняются задачи, поставленные в 2019-2020 годах: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обеспечение сбалансированности  бюджета </w:t>
      </w:r>
      <w:r w:rsidR="00C421FE">
        <w:rPr>
          <w:sz w:val="28"/>
          <w:szCs w:val="28"/>
        </w:rPr>
        <w:t>города Тынды</w:t>
      </w:r>
      <w:r>
        <w:rPr>
          <w:sz w:val="28"/>
          <w:szCs w:val="28"/>
        </w:rPr>
        <w:t>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приоритетных направлений социально-экономического развития Амурской области;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поддержка предпринимательской и инвестиционной активности и привлечение инвестиций на территории </w:t>
      </w:r>
      <w:r w:rsidR="00C421FE">
        <w:rPr>
          <w:sz w:val="28"/>
          <w:szCs w:val="28"/>
        </w:rPr>
        <w:t>города</w:t>
      </w:r>
      <w:r>
        <w:rPr>
          <w:sz w:val="28"/>
          <w:szCs w:val="28"/>
        </w:rPr>
        <w:t>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рынка труда для обеспечения роста производительности труда;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дополнительная поддержка социально незащищенных граждан.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Дополнительно предусмотрены задачи:</w:t>
      </w:r>
    </w:p>
    <w:p w:rsidR="00281E30" w:rsidRDefault="00281E30" w:rsidP="00281E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  сохранение устойчивости экономики;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повышение привлекательности налогового климата и создание условий для увеличения доходной базы бюджета </w:t>
      </w:r>
      <w:r w:rsidR="00C421FE">
        <w:rPr>
          <w:sz w:val="28"/>
          <w:szCs w:val="28"/>
        </w:rPr>
        <w:t>города</w:t>
      </w:r>
      <w:r>
        <w:rPr>
          <w:sz w:val="28"/>
          <w:szCs w:val="28"/>
        </w:rPr>
        <w:t>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реализация мер, направленных на укрепление социальной защиты населения, в том числе по устранению последствий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инфекции.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также с целью поддержки субъектов малого и среднего предпринимательства, пострадавших от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 предусмотрены задачи: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условий для восстановления стабильного развития малого бизнеса, в том числе в целях восстановления деятельности малого и среднего предпринимательства после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налоговой политики  учтены при планировании </w:t>
      </w:r>
      <w:r w:rsidR="00C421FE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</w:t>
      </w:r>
      <w:r w:rsidR="00C421FE">
        <w:rPr>
          <w:sz w:val="28"/>
          <w:szCs w:val="28"/>
        </w:rPr>
        <w:t>.</w:t>
      </w:r>
      <w:r>
        <w:rPr>
          <w:sz w:val="28"/>
          <w:szCs w:val="28"/>
        </w:rPr>
        <w:t xml:space="preserve"> Данный документ является базой для подготовки органами исполнительной власти </w:t>
      </w:r>
      <w:r w:rsidR="00C421FE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изменений в </w:t>
      </w:r>
      <w:r w:rsidR="00C421FE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о налогах и сборах.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</w:p>
    <w:p w:rsidR="00281E30" w:rsidRDefault="00281E30" w:rsidP="00281E3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итоги реализации налоговой политики в 2019-2020 годах</w:t>
      </w:r>
    </w:p>
    <w:p w:rsidR="00CD740C" w:rsidRDefault="00CD740C" w:rsidP="00281E30">
      <w:pPr>
        <w:ind w:firstLine="709"/>
        <w:jc w:val="center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налоговой политики  формируются на основе преемственности заложенных в предшествующие годы базовых принципов и условий налогообложения, а также обоснованного распределения налоговой нагрузки между секторами экономики категориями налогоплательщиков.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Принятые меры в рамках </w:t>
      </w:r>
      <w:proofErr w:type="gramStart"/>
      <w:r>
        <w:rPr>
          <w:sz w:val="28"/>
          <w:szCs w:val="28"/>
        </w:rPr>
        <w:t>налоговой политики, реализуемой в 2019-2020 годах позволили</w:t>
      </w:r>
      <w:proofErr w:type="gramEnd"/>
      <w:r>
        <w:rPr>
          <w:sz w:val="28"/>
          <w:szCs w:val="28"/>
        </w:rPr>
        <w:t>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обеспечить исполнение бюджета;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стабилизировать рост социальных показателей;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выполнить показатели, отраженные в Указах Президента Российской Федерации;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-предоставить поддержку социально незащищенным гражданам. </w:t>
      </w:r>
    </w:p>
    <w:p w:rsidR="00281E30" w:rsidRDefault="00281E30" w:rsidP="00CD740C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</w:t>
      </w:r>
      <w:r w:rsidR="00965686">
        <w:rPr>
          <w:sz w:val="28"/>
          <w:szCs w:val="28"/>
        </w:rPr>
        <w:t xml:space="preserve">оведена работа </w:t>
      </w:r>
      <w:r>
        <w:rPr>
          <w:sz w:val="28"/>
          <w:szCs w:val="28"/>
        </w:rPr>
        <w:t xml:space="preserve"> по устранению неэффективных налоговых льгот.</w:t>
      </w:r>
    </w:p>
    <w:p w:rsidR="00281E30" w:rsidRDefault="00965686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Рассмотрена</w:t>
      </w:r>
      <w:r w:rsidR="00281E30">
        <w:rPr>
          <w:sz w:val="28"/>
          <w:szCs w:val="28"/>
        </w:rPr>
        <w:t xml:space="preserve"> объективность применения льготных категорий по земельному налогу.</w:t>
      </w:r>
    </w:p>
    <w:p w:rsidR="00281E30" w:rsidRDefault="00965686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81E30">
        <w:rPr>
          <w:sz w:val="28"/>
          <w:szCs w:val="28"/>
        </w:rPr>
        <w:t xml:space="preserve">роведена оценка эффективности налоговых льгот, по результатам которой  составлены планы по устранению неэффективных налоговых льгот  </w:t>
      </w:r>
      <w:r w:rsidR="00281E30">
        <w:rPr>
          <w:sz w:val="28"/>
          <w:szCs w:val="28"/>
        </w:rPr>
        <w:lastRenderedPageBreak/>
        <w:t>в части отмены льготы по земельному налогу для казенных, бюджетных и автономных учреждений.</w:t>
      </w:r>
    </w:p>
    <w:p w:rsidR="00281E30" w:rsidRDefault="00965686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Администрацией города Тынды совместно с </w:t>
      </w:r>
      <w:proofErr w:type="spellStart"/>
      <w:r>
        <w:rPr>
          <w:sz w:val="28"/>
          <w:szCs w:val="28"/>
        </w:rPr>
        <w:t>Тындинской</w:t>
      </w:r>
      <w:proofErr w:type="spellEnd"/>
      <w:r>
        <w:rPr>
          <w:sz w:val="28"/>
          <w:szCs w:val="28"/>
        </w:rPr>
        <w:t xml:space="preserve"> городской Думой </w:t>
      </w:r>
      <w:r w:rsidR="00281E30">
        <w:rPr>
          <w:sz w:val="28"/>
          <w:szCs w:val="28"/>
        </w:rPr>
        <w:t xml:space="preserve"> рассмотре</w:t>
      </w:r>
      <w:r>
        <w:rPr>
          <w:sz w:val="28"/>
          <w:szCs w:val="28"/>
        </w:rPr>
        <w:t>на</w:t>
      </w:r>
      <w:r w:rsidR="00281E30">
        <w:rPr>
          <w:sz w:val="28"/>
          <w:szCs w:val="28"/>
        </w:rPr>
        <w:t xml:space="preserve"> возможность снижения не менее чем на 50 % корректирующего коэффициента К</w:t>
      </w:r>
      <w:proofErr w:type="gramStart"/>
      <w:r w:rsidR="00281E30">
        <w:rPr>
          <w:sz w:val="28"/>
          <w:szCs w:val="28"/>
        </w:rPr>
        <w:t>2</w:t>
      </w:r>
      <w:proofErr w:type="gramEnd"/>
      <w:r w:rsidR="00281E30">
        <w:rPr>
          <w:sz w:val="28"/>
          <w:szCs w:val="28"/>
        </w:rPr>
        <w:t xml:space="preserve">, применяемого при расчете единого налога на вмененный доход, а также ставок по налогу на имущество физических лиц и земельному налогу для отраслей, пострадавших от распространения </w:t>
      </w:r>
      <w:proofErr w:type="spellStart"/>
      <w:r w:rsidR="00281E30">
        <w:rPr>
          <w:sz w:val="28"/>
          <w:szCs w:val="28"/>
        </w:rPr>
        <w:t>коронавирусной</w:t>
      </w:r>
      <w:proofErr w:type="spellEnd"/>
      <w:r w:rsidR="00281E30">
        <w:rPr>
          <w:sz w:val="28"/>
          <w:szCs w:val="28"/>
        </w:rPr>
        <w:t xml:space="preserve"> инфекции.</w:t>
      </w:r>
    </w:p>
    <w:p w:rsidR="00281E30" w:rsidRDefault="00965686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81E30">
        <w:rPr>
          <w:sz w:val="28"/>
          <w:szCs w:val="28"/>
        </w:rPr>
        <w:t>ринят нормативны</w:t>
      </w:r>
      <w:r>
        <w:rPr>
          <w:sz w:val="28"/>
          <w:szCs w:val="28"/>
        </w:rPr>
        <w:t>й</w:t>
      </w:r>
      <w:r w:rsidR="00281E30">
        <w:rPr>
          <w:sz w:val="28"/>
          <w:szCs w:val="28"/>
        </w:rPr>
        <w:t xml:space="preserve"> правов</w:t>
      </w:r>
      <w:r>
        <w:rPr>
          <w:sz w:val="28"/>
          <w:szCs w:val="28"/>
        </w:rPr>
        <w:t>ой</w:t>
      </w:r>
      <w:r w:rsidR="00281E30">
        <w:rPr>
          <w:sz w:val="28"/>
          <w:szCs w:val="28"/>
        </w:rPr>
        <w:t xml:space="preserve"> акт, которы</w:t>
      </w:r>
      <w:r>
        <w:rPr>
          <w:sz w:val="28"/>
          <w:szCs w:val="28"/>
        </w:rPr>
        <w:t>й</w:t>
      </w:r>
      <w:r w:rsidR="00281E30">
        <w:rPr>
          <w:sz w:val="28"/>
          <w:szCs w:val="28"/>
        </w:rPr>
        <w:t xml:space="preserve"> предусматрива</w:t>
      </w:r>
      <w:r>
        <w:rPr>
          <w:sz w:val="28"/>
          <w:szCs w:val="28"/>
        </w:rPr>
        <w:t>е</w:t>
      </w:r>
      <w:r w:rsidR="00281E30">
        <w:rPr>
          <w:sz w:val="28"/>
          <w:szCs w:val="28"/>
        </w:rPr>
        <w:t>т снижение корректирующего коэффициента К</w:t>
      </w:r>
      <w:proofErr w:type="gramStart"/>
      <w:r w:rsidR="00281E30">
        <w:rPr>
          <w:sz w:val="28"/>
          <w:szCs w:val="28"/>
        </w:rPr>
        <w:t>2</w:t>
      </w:r>
      <w:proofErr w:type="gramEnd"/>
      <w:r w:rsidR="00281E30">
        <w:rPr>
          <w:sz w:val="28"/>
          <w:szCs w:val="28"/>
        </w:rPr>
        <w:t xml:space="preserve">, применяемого для расчета единого налога на вмененный доход на период 2020 года по отдельным видам деятельности, пострадавшим от распространения новой </w:t>
      </w:r>
      <w:proofErr w:type="spellStart"/>
      <w:r w:rsidR="00281E30">
        <w:rPr>
          <w:sz w:val="28"/>
          <w:szCs w:val="28"/>
        </w:rPr>
        <w:t>коронавирусной</w:t>
      </w:r>
      <w:proofErr w:type="spellEnd"/>
      <w:r w:rsidR="00281E30">
        <w:rPr>
          <w:sz w:val="28"/>
          <w:szCs w:val="28"/>
        </w:rPr>
        <w:t xml:space="preserve"> инфекции</w:t>
      </w:r>
      <w:r>
        <w:rPr>
          <w:sz w:val="28"/>
          <w:szCs w:val="28"/>
        </w:rPr>
        <w:t>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Представительным орган</w:t>
      </w:r>
      <w:r w:rsidR="00965686">
        <w:rPr>
          <w:sz w:val="28"/>
          <w:szCs w:val="28"/>
        </w:rPr>
        <w:t>ом</w:t>
      </w:r>
      <w:r>
        <w:rPr>
          <w:sz w:val="28"/>
          <w:szCs w:val="28"/>
        </w:rPr>
        <w:t xml:space="preserve"> принят нормативны</w:t>
      </w:r>
      <w:r w:rsidR="00965686">
        <w:rPr>
          <w:sz w:val="28"/>
          <w:szCs w:val="28"/>
        </w:rPr>
        <w:t>й</w:t>
      </w:r>
      <w:r>
        <w:rPr>
          <w:sz w:val="28"/>
          <w:szCs w:val="28"/>
        </w:rPr>
        <w:t xml:space="preserve"> правов</w:t>
      </w:r>
      <w:r w:rsidR="00965686">
        <w:rPr>
          <w:sz w:val="28"/>
          <w:szCs w:val="28"/>
        </w:rPr>
        <w:t>ой</w:t>
      </w:r>
      <w:r>
        <w:rPr>
          <w:sz w:val="28"/>
          <w:szCs w:val="28"/>
        </w:rPr>
        <w:t xml:space="preserve"> акт, которы</w:t>
      </w:r>
      <w:r w:rsidR="00965686">
        <w:rPr>
          <w:sz w:val="28"/>
          <w:szCs w:val="28"/>
        </w:rPr>
        <w:t>й</w:t>
      </w:r>
      <w:r>
        <w:rPr>
          <w:sz w:val="28"/>
          <w:szCs w:val="28"/>
        </w:rPr>
        <w:t xml:space="preserve"> предусматривают снижение ставок по налогу на имущество физических лиц в отношении объектов недвижимости</w:t>
      </w:r>
      <w:r w:rsidR="00965686">
        <w:rPr>
          <w:sz w:val="28"/>
          <w:szCs w:val="28"/>
        </w:rPr>
        <w:t>.</w:t>
      </w:r>
    </w:p>
    <w:p w:rsidR="00281E30" w:rsidRDefault="00965686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81E30">
        <w:rPr>
          <w:sz w:val="28"/>
          <w:szCs w:val="28"/>
        </w:rPr>
        <w:t>ринят</w:t>
      </w:r>
      <w:r>
        <w:rPr>
          <w:sz w:val="28"/>
          <w:szCs w:val="28"/>
        </w:rPr>
        <w:t>о</w:t>
      </w:r>
      <w:r w:rsidR="00281E30">
        <w:rPr>
          <w:sz w:val="28"/>
          <w:szCs w:val="28"/>
        </w:rPr>
        <w:t xml:space="preserve"> решени</w:t>
      </w:r>
      <w:r>
        <w:rPr>
          <w:sz w:val="28"/>
          <w:szCs w:val="28"/>
        </w:rPr>
        <w:t>е</w:t>
      </w:r>
      <w:r w:rsidR="00281E30">
        <w:rPr>
          <w:sz w:val="28"/>
          <w:szCs w:val="28"/>
        </w:rPr>
        <w:t xml:space="preserve"> в отношении отсрочки уплаты авансовых платежей по земельному налогу</w:t>
      </w:r>
      <w:r>
        <w:rPr>
          <w:sz w:val="28"/>
          <w:szCs w:val="28"/>
        </w:rPr>
        <w:t>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Работа по снижению налоговых ставок  продолжается.</w:t>
      </w:r>
    </w:p>
    <w:p w:rsidR="00E303C3" w:rsidRDefault="00E303C3" w:rsidP="00281E30">
      <w:pPr>
        <w:ind w:firstLine="709"/>
        <w:jc w:val="center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налоговой политики на 2021-2023 годы</w:t>
      </w:r>
    </w:p>
    <w:p w:rsidR="006C64D1" w:rsidRDefault="006C64D1" w:rsidP="00281E30">
      <w:pPr>
        <w:ind w:firstLine="709"/>
        <w:jc w:val="both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Налоговая политика  направлена на обеспечение роста доходного потенциала, на проведение мер по стимулированию экономического роста, улучшению инвестиционного климата и созданию дополнительных рабочих мест, а также минимизацию </w:t>
      </w:r>
      <w:r w:rsidR="00D641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последствий распространения </w:t>
      </w:r>
      <w:proofErr w:type="spellStart"/>
      <w:r>
        <w:rPr>
          <w:sz w:val="28"/>
          <w:szCs w:val="28"/>
        </w:rPr>
        <w:t>коронавирусной</w:t>
      </w:r>
      <w:proofErr w:type="spellEnd"/>
      <w:r>
        <w:rPr>
          <w:sz w:val="28"/>
          <w:szCs w:val="28"/>
        </w:rPr>
        <w:t xml:space="preserve"> инфекции. </w:t>
      </w:r>
    </w:p>
    <w:p w:rsidR="00281E30" w:rsidRDefault="00D000CE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Администрацией</w:t>
      </w:r>
      <w:r w:rsidR="00281E30">
        <w:rPr>
          <w:sz w:val="28"/>
          <w:szCs w:val="28"/>
        </w:rPr>
        <w:t xml:space="preserve"> планируется дальнейшее совершенствование инструментов поддержки развития субъектов малого и среднего предпринимательства, а именно:</w:t>
      </w:r>
    </w:p>
    <w:p w:rsidR="00281E30" w:rsidRDefault="00281E30" w:rsidP="00281E3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 установление оптимальных условий налогообложения для субъектов малого и среднего предпринимательства;</w:t>
      </w:r>
    </w:p>
    <w:p w:rsidR="00281E30" w:rsidRDefault="00281E30" w:rsidP="00281E3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проведение информационно-разъяснительной кампании в целях обеспечения возможности плавного перехода с единого налога на вмененный доход на иные налоговые режимы;</w:t>
      </w:r>
    </w:p>
    <w:p w:rsidR="00281E30" w:rsidRDefault="00281E30" w:rsidP="00281E3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- пересмотр потенциально возможного дохода индивидуальных предпринимателей, </w:t>
      </w:r>
      <w:proofErr w:type="gramStart"/>
      <w:r>
        <w:rPr>
          <w:color w:val="000000"/>
          <w:sz w:val="28"/>
          <w:szCs w:val="28"/>
        </w:rPr>
        <w:t>применяющим</w:t>
      </w:r>
      <w:proofErr w:type="gramEnd"/>
      <w:r>
        <w:rPr>
          <w:color w:val="000000"/>
          <w:sz w:val="28"/>
          <w:szCs w:val="28"/>
        </w:rPr>
        <w:t xml:space="preserve"> патентную систему налогообложения;</w:t>
      </w:r>
    </w:p>
    <w:p w:rsidR="00281E30" w:rsidRDefault="00281E30" w:rsidP="00281E30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дополнение перечня видов деятельности, в отношении которых применятся патентная система налогообложения;</w:t>
      </w:r>
    </w:p>
    <w:p w:rsidR="00281E30" w:rsidRDefault="00281E30" w:rsidP="00281E30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реализация специальных программ поддержки пострадавших отраслей.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 xml:space="preserve">Предполагается, что последствия </w:t>
      </w:r>
      <w:proofErr w:type="spellStart"/>
      <w:r w:rsidRPr="00D000CE">
        <w:rPr>
          <w:rFonts w:ascii="Times New Roman" w:hAnsi="Times New Roman" w:cs="Times New Roman"/>
          <w:sz w:val="28"/>
          <w:szCs w:val="28"/>
        </w:rPr>
        <w:t>коронавируса</w:t>
      </w:r>
      <w:proofErr w:type="spellEnd"/>
      <w:r w:rsidRPr="00D000CE">
        <w:rPr>
          <w:rFonts w:ascii="Times New Roman" w:hAnsi="Times New Roman" w:cs="Times New Roman"/>
          <w:sz w:val="28"/>
          <w:szCs w:val="28"/>
        </w:rPr>
        <w:t xml:space="preserve"> и самой крупной по масштабам и временному интервалу остановки экономики в современной истории России, по предварительным данным будут преодолены от 1 года до </w:t>
      </w:r>
      <w:r w:rsidRPr="00D000CE">
        <w:rPr>
          <w:rFonts w:ascii="Times New Roman" w:hAnsi="Times New Roman" w:cs="Times New Roman"/>
          <w:sz w:val="28"/>
          <w:szCs w:val="28"/>
        </w:rPr>
        <w:lastRenderedPageBreak/>
        <w:t>4 лет.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Основные направления налоговой политики  на 2021-2023 годов ориентированы на достижение целей, показателей и результатов в следующих сферах: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 xml:space="preserve">обеспечение необходимого уровня доходной базы </w:t>
      </w:r>
      <w:r w:rsidR="00D000CE" w:rsidRPr="00D000CE">
        <w:rPr>
          <w:rFonts w:ascii="Times New Roman" w:hAnsi="Times New Roman" w:cs="Times New Roman"/>
          <w:sz w:val="28"/>
          <w:szCs w:val="28"/>
        </w:rPr>
        <w:t>городского</w:t>
      </w:r>
      <w:r w:rsidRPr="00D000CE">
        <w:rPr>
          <w:rFonts w:ascii="Times New Roman" w:hAnsi="Times New Roman" w:cs="Times New Roman"/>
          <w:sz w:val="28"/>
          <w:szCs w:val="28"/>
        </w:rPr>
        <w:t xml:space="preserve"> бюджета для поддержания бюджетной сбалансированности; 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улучшение условий ведения и поддержк</w:t>
      </w:r>
      <w:r w:rsidR="00BE2FDC">
        <w:rPr>
          <w:rFonts w:ascii="Times New Roman" w:hAnsi="Times New Roman" w:cs="Times New Roman"/>
          <w:sz w:val="28"/>
          <w:szCs w:val="28"/>
        </w:rPr>
        <w:t>и</w:t>
      </w:r>
      <w:r w:rsidR="001C6319">
        <w:rPr>
          <w:rFonts w:ascii="Times New Roman" w:hAnsi="Times New Roman" w:cs="Times New Roman"/>
          <w:sz w:val="28"/>
          <w:szCs w:val="28"/>
        </w:rPr>
        <w:t xml:space="preserve"> </w:t>
      </w:r>
      <w:r w:rsidRPr="00D000CE">
        <w:rPr>
          <w:rFonts w:ascii="Times New Roman" w:hAnsi="Times New Roman" w:cs="Times New Roman"/>
          <w:sz w:val="28"/>
          <w:szCs w:val="28"/>
        </w:rPr>
        <w:t xml:space="preserve"> субъектов малого и среднего предпринимательства с целью стабилизации их финансового состояния после ликвидации последствий, связанных с распространением </w:t>
      </w:r>
      <w:proofErr w:type="spellStart"/>
      <w:r w:rsidRPr="00D000CE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D000CE">
        <w:rPr>
          <w:rFonts w:ascii="Times New Roman" w:hAnsi="Times New Roman" w:cs="Times New Roman"/>
          <w:sz w:val="28"/>
          <w:szCs w:val="28"/>
        </w:rPr>
        <w:t xml:space="preserve"> инфекции;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совершенствование налогообложения для малого предпринимательства;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стимулирование инвестиционной деятельности, повышение производительности труда;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устранение неэффективных налоговых льгот;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социальная поддержка населения;</w:t>
      </w:r>
    </w:p>
    <w:p w:rsidR="00281E30" w:rsidRPr="00D000C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00CE">
        <w:rPr>
          <w:rFonts w:ascii="Times New Roman" w:hAnsi="Times New Roman" w:cs="Times New Roman"/>
          <w:sz w:val="28"/>
          <w:szCs w:val="28"/>
        </w:rPr>
        <w:t>совершенствование  законодательства в части налогообложения.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>В рамках основных направлений налоговой политики в 2021 - 2023 годах будет продолжена работа по реализации следующих мероприятий: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 </w:t>
      </w:r>
      <w:r w:rsidR="001C6319">
        <w:rPr>
          <w:rFonts w:ascii="Times New Roman" w:hAnsi="Times New Roman" w:cs="Times New Roman"/>
          <w:sz w:val="28"/>
          <w:szCs w:val="28"/>
        </w:rPr>
        <w:t>1.О</w:t>
      </w:r>
      <w:r w:rsidRPr="00C3037E">
        <w:rPr>
          <w:rFonts w:ascii="Times New Roman" w:hAnsi="Times New Roman" w:cs="Times New Roman"/>
          <w:sz w:val="28"/>
          <w:szCs w:val="28"/>
        </w:rPr>
        <w:t xml:space="preserve">беспечение необходимого уровня доходной базы </w:t>
      </w:r>
      <w:r w:rsidR="00C3037E">
        <w:rPr>
          <w:rFonts w:ascii="Times New Roman" w:hAnsi="Times New Roman" w:cs="Times New Roman"/>
          <w:sz w:val="28"/>
          <w:szCs w:val="28"/>
        </w:rPr>
        <w:t>городского</w:t>
      </w:r>
      <w:r w:rsidRPr="00C3037E">
        <w:rPr>
          <w:rFonts w:ascii="Times New Roman" w:hAnsi="Times New Roman" w:cs="Times New Roman"/>
          <w:sz w:val="28"/>
          <w:szCs w:val="28"/>
        </w:rPr>
        <w:t xml:space="preserve"> бюджета для поддержания бюджетной сбалансированности. С этой целью реализации продолжается реализация следующих мероприятий: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>мониторинг финансовых и экономических показателей;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анализ налоговых поступлений в </w:t>
      </w:r>
      <w:r w:rsidR="00C3037E">
        <w:rPr>
          <w:rFonts w:ascii="Times New Roman" w:hAnsi="Times New Roman" w:cs="Times New Roman"/>
          <w:sz w:val="28"/>
          <w:szCs w:val="28"/>
        </w:rPr>
        <w:t>городской</w:t>
      </w:r>
      <w:r w:rsidRPr="00C3037E">
        <w:rPr>
          <w:rFonts w:ascii="Times New Roman" w:hAnsi="Times New Roman" w:cs="Times New Roman"/>
          <w:sz w:val="28"/>
          <w:szCs w:val="28"/>
        </w:rPr>
        <w:t xml:space="preserve"> бюджет от деятельности крупных налогоплательщиков</w:t>
      </w:r>
      <w:r w:rsidR="00C3037E">
        <w:rPr>
          <w:rFonts w:ascii="Times New Roman" w:hAnsi="Times New Roman" w:cs="Times New Roman"/>
          <w:sz w:val="28"/>
          <w:szCs w:val="28"/>
        </w:rPr>
        <w:t>;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ежемесячный мониторинг налоговых поступлений и объем недоимки в </w:t>
      </w:r>
      <w:r w:rsidR="00C3037E">
        <w:rPr>
          <w:rFonts w:ascii="Times New Roman" w:hAnsi="Times New Roman" w:cs="Times New Roman"/>
          <w:sz w:val="28"/>
          <w:szCs w:val="28"/>
        </w:rPr>
        <w:t>городской</w:t>
      </w:r>
      <w:r w:rsidRPr="00C3037E">
        <w:rPr>
          <w:rFonts w:ascii="Times New Roman" w:hAnsi="Times New Roman" w:cs="Times New Roman"/>
          <w:sz w:val="28"/>
          <w:szCs w:val="28"/>
        </w:rPr>
        <w:t xml:space="preserve"> бюджет;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проведение работы по устранению задолженности по уплате НДФЛ в  бюджет организациями (предприятиями), осуществляющими деятельность на территории </w:t>
      </w:r>
      <w:r w:rsidR="00C3037E">
        <w:rPr>
          <w:rFonts w:ascii="Times New Roman" w:hAnsi="Times New Roman" w:cs="Times New Roman"/>
          <w:sz w:val="28"/>
          <w:szCs w:val="28"/>
        </w:rPr>
        <w:t>города Тынды</w:t>
      </w:r>
      <w:r w:rsidRPr="00C3037E">
        <w:rPr>
          <w:rFonts w:ascii="Times New Roman" w:hAnsi="Times New Roman" w:cs="Times New Roman"/>
          <w:sz w:val="28"/>
          <w:szCs w:val="28"/>
        </w:rPr>
        <w:t>;</w:t>
      </w:r>
    </w:p>
    <w:p w:rsidR="00281E30" w:rsidRPr="00C3037E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37E">
        <w:rPr>
          <w:rFonts w:ascii="Times New Roman" w:hAnsi="Times New Roman" w:cs="Times New Roman"/>
          <w:sz w:val="28"/>
          <w:szCs w:val="28"/>
        </w:rPr>
        <w:t xml:space="preserve">мониторинг выполнения обязательств Соглашения о мерах по социально-экономическому развитию и оздоровлению </w:t>
      </w:r>
      <w:r w:rsidR="00C3037E">
        <w:rPr>
          <w:rFonts w:ascii="Times New Roman" w:hAnsi="Times New Roman" w:cs="Times New Roman"/>
          <w:sz w:val="28"/>
          <w:szCs w:val="28"/>
        </w:rPr>
        <w:t>муниципальных</w:t>
      </w:r>
      <w:r w:rsidRPr="00C3037E">
        <w:rPr>
          <w:rFonts w:ascii="Times New Roman" w:hAnsi="Times New Roman" w:cs="Times New Roman"/>
          <w:sz w:val="28"/>
          <w:szCs w:val="28"/>
        </w:rPr>
        <w:t xml:space="preserve"> финансов</w:t>
      </w:r>
      <w:r w:rsidR="00C3037E">
        <w:rPr>
          <w:rFonts w:ascii="Times New Roman" w:hAnsi="Times New Roman" w:cs="Times New Roman"/>
          <w:sz w:val="28"/>
          <w:szCs w:val="28"/>
        </w:rPr>
        <w:t>.</w:t>
      </w:r>
    </w:p>
    <w:p w:rsidR="00281E30" w:rsidRPr="003464AB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AB">
        <w:rPr>
          <w:rFonts w:ascii="Times New Roman" w:hAnsi="Times New Roman" w:cs="Times New Roman"/>
          <w:sz w:val="28"/>
          <w:szCs w:val="28"/>
        </w:rPr>
        <w:t xml:space="preserve">2. Совершенствование налогообложения и поддержка субъектов малого и среднего предпринимательства с целью стабилизации финансового состояния после ликвидации последствий, связанных с распространением </w:t>
      </w:r>
      <w:proofErr w:type="spellStart"/>
      <w:r w:rsidRPr="003464A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Pr="003464AB">
        <w:rPr>
          <w:rFonts w:ascii="Times New Roman" w:hAnsi="Times New Roman" w:cs="Times New Roman"/>
          <w:sz w:val="28"/>
          <w:szCs w:val="28"/>
        </w:rPr>
        <w:t xml:space="preserve"> инфекции. Продолжена ранее организованная работа </w:t>
      </w:r>
      <w:proofErr w:type="gramStart"/>
      <w:r w:rsidRPr="003464AB">
        <w:rPr>
          <w:rFonts w:ascii="Times New Roman" w:hAnsi="Times New Roman" w:cs="Times New Roman"/>
          <w:sz w:val="28"/>
          <w:szCs w:val="28"/>
        </w:rPr>
        <w:t>по</w:t>
      </w:r>
      <w:proofErr w:type="gramEnd"/>
      <w:r w:rsidRPr="003464AB">
        <w:rPr>
          <w:rFonts w:ascii="Times New Roman" w:hAnsi="Times New Roman" w:cs="Times New Roman"/>
          <w:sz w:val="28"/>
          <w:szCs w:val="28"/>
        </w:rPr>
        <w:t>:</w:t>
      </w:r>
    </w:p>
    <w:p w:rsidR="00281E30" w:rsidRPr="003464AB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AB">
        <w:rPr>
          <w:rFonts w:ascii="Times New Roman" w:hAnsi="Times New Roman" w:cs="Times New Roman"/>
          <w:sz w:val="28"/>
          <w:szCs w:val="28"/>
        </w:rPr>
        <w:t xml:space="preserve">рассмотрению объективности установления размера потенциального возможного к получению годового дохода индивидуальными предпринимателями и совершенствованию патентной системы налогообложения на территории </w:t>
      </w:r>
      <w:r w:rsidR="003464AB">
        <w:rPr>
          <w:rFonts w:ascii="Times New Roman" w:hAnsi="Times New Roman" w:cs="Times New Roman"/>
          <w:sz w:val="28"/>
          <w:szCs w:val="28"/>
        </w:rPr>
        <w:t>города</w:t>
      </w:r>
      <w:r w:rsidRPr="003464AB">
        <w:rPr>
          <w:rFonts w:ascii="Times New Roman" w:hAnsi="Times New Roman" w:cs="Times New Roman"/>
          <w:sz w:val="28"/>
          <w:szCs w:val="28"/>
        </w:rPr>
        <w:t>;</w:t>
      </w:r>
    </w:p>
    <w:p w:rsidR="00281E30" w:rsidRPr="003464AB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AB">
        <w:rPr>
          <w:rFonts w:ascii="Times New Roman" w:hAnsi="Times New Roman" w:cs="Times New Roman"/>
          <w:sz w:val="28"/>
          <w:szCs w:val="28"/>
        </w:rPr>
        <w:t>проведению информационной работы с предпринимательским сообществом по совершенствованию патентной системы налогообложения;</w:t>
      </w:r>
    </w:p>
    <w:p w:rsidR="00281E30" w:rsidRPr="003464AB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64AB">
        <w:rPr>
          <w:rFonts w:ascii="Times New Roman" w:hAnsi="Times New Roman" w:cs="Times New Roman"/>
          <w:sz w:val="28"/>
          <w:szCs w:val="28"/>
        </w:rPr>
        <w:t>сохранение действующих налоговых преференций, в соответствии с налоговым законодательством.</w:t>
      </w:r>
    </w:p>
    <w:p w:rsidR="00281E30" w:rsidRDefault="001C6319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281E30">
        <w:rPr>
          <w:sz w:val="28"/>
          <w:szCs w:val="28"/>
        </w:rPr>
        <w:t xml:space="preserve">. </w:t>
      </w:r>
      <w:r w:rsidR="00D82DA0">
        <w:rPr>
          <w:sz w:val="28"/>
          <w:szCs w:val="28"/>
        </w:rPr>
        <w:t xml:space="preserve"> </w:t>
      </w:r>
      <w:r w:rsidR="00281E30">
        <w:rPr>
          <w:sz w:val="28"/>
          <w:szCs w:val="28"/>
        </w:rPr>
        <w:t xml:space="preserve">Совершенствование </w:t>
      </w:r>
      <w:r w:rsidR="009D47B5">
        <w:rPr>
          <w:sz w:val="28"/>
          <w:szCs w:val="28"/>
        </w:rPr>
        <w:t>принятых решений</w:t>
      </w:r>
      <w:r w:rsidR="00281E30">
        <w:rPr>
          <w:sz w:val="28"/>
          <w:szCs w:val="28"/>
        </w:rPr>
        <w:t xml:space="preserve"> в части налогообложения: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приведение </w:t>
      </w:r>
      <w:r w:rsidR="009D47B5">
        <w:rPr>
          <w:sz w:val="28"/>
          <w:szCs w:val="28"/>
        </w:rPr>
        <w:t>их</w:t>
      </w:r>
      <w:r>
        <w:rPr>
          <w:sz w:val="28"/>
          <w:szCs w:val="28"/>
        </w:rPr>
        <w:t xml:space="preserve"> в соответствие новым положениям Налогового кодекса Российской Федерации и федеральным налоговым Законам;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дополнение перечня видов предпринимательской деятельности по патентной системе налогообложения с целью приведения в соответствие Налоговому кодексу Российской Федерации;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обращений налогоплательщиков на предмет установления налоговых льгот или пониженных ставок;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рассмотрение возможности установления дополнительных налоговых преференций для социально незащищенных категорий граждан.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</w:p>
    <w:p w:rsidR="00281E30" w:rsidRDefault="00281E30" w:rsidP="00281E3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итоги реализации бюджетной политики  в 2019 году и первой половине 2020 года и условия, определяющие формирование бюджетной политики на 2021 - 2023 годы</w:t>
      </w:r>
    </w:p>
    <w:p w:rsidR="00281E30" w:rsidRDefault="00281E30" w:rsidP="00281E30">
      <w:pPr>
        <w:ind w:firstLine="709"/>
        <w:jc w:val="both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Необходимость реализации </w:t>
      </w:r>
      <w:proofErr w:type="gramStart"/>
      <w:r>
        <w:rPr>
          <w:sz w:val="28"/>
          <w:szCs w:val="28"/>
        </w:rPr>
        <w:t>амбициозных</w:t>
      </w:r>
      <w:proofErr w:type="gramEnd"/>
      <w:r>
        <w:rPr>
          <w:sz w:val="28"/>
          <w:szCs w:val="28"/>
        </w:rPr>
        <w:t xml:space="preserve"> целей развития, поставленных в Указе Президента Российской Федерации от 07.05.2018        № 204 «О национальных целях и стратегических задачах развития Российской Федерации на период до 2024 года»  в ближайшие годы требует обновления подходов к реализации государственной политики.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Так, основным инструментом реализации указанных целей стали </w:t>
      </w:r>
      <w:r w:rsidR="00E31ADF">
        <w:rPr>
          <w:sz w:val="28"/>
          <w:szCs w:val="28"/>
        </w:rPr>
        <w:t xml:space="preserve">участие города Тынды в </w:t>
      </w:r>
      <w:r>
        <w:rPr>
          <w:sz w:val="28"/>
          <w:szCs w:val="28"/>
        </w:rPr>
        <w:t>национальны</w:t>
      </w:r>
      <w:r w:rsidR="00E31ADF">
        <w:rPr>
          <w:sz w:val="28"/>
          <w:szCs w:val="28"/>
        </w:rPr>
        <w:t>х</w:t>
      </w:r>
      <w:r>
        <w:rPr>
          <w:sz w:val="28"/>
          <w:szCs w:val="28"/>
        </w:rPr>
        <w:t xml:space="preserve"> проект</w:t>
      </w:r>
      <w:r w:rsidR="00E31ADF">
        <w:rPr>
          <w:sz w:val="28"/>
          <w:szCs w:val="28"/>
        </w:rPr>
        <w:t>ах</w:t>
      </w:r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Значимость национальных целей развития с точки зрения бюджетной политики подчеркивается тем фактом, что для достижения указанных целей, включая ускорение темпов роста экономики, обеспечение роста реальных доходов населения и снижение бедности, повышение качества и доступности здравоохранения и образования, создания современной комфортной инфраструктуры, предусмотрены бюджетные ассигнования на реализацию региональных проектов в приоритетном порядке.</w:t>
      </w:r>
      <w:proofErr w:type="gramEnd"/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 за счет уточнения подходов к бюджетной классификации обеспечено обособление бюджетных ассигнований на реализацию региональных проектов: для каждого регионального проекта введено уникальное буквенное обозначение, которое присутствует в коде соответствующих федеральных проектов как структурных элементов государственных программ. Тем самым гарантируется полная прозрачность и возможность контроля использования бюджетных средств на реализацию национальных проектов.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Одним из приоритетов является система мер социальной поддержки граждан в Амурской области, которая направлена на обеспечение благосостояния отдельных категорий граждан.</w:t>
      </w:r>
    </w:p>
    <w:p w:rsidR="00281E30" w:rsidRDefault="00281E30" w:rsidP="00281E30">
      <w:pPr>
        <w:widowControl/>
        <w:ind w:firstLine="709"/>
        <w:jc w:val="both"/>
        <w:rPr>
          <w:color w:val="000000"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связи с глобальной пандемией новой </w:t>
      </w:r>
      <w:proofErr w:type="spellStart"/>
      <w:r>
        <w:rPr>
          <w:sz w:val="28"/>
          <w:szCs w:val="28"/>
          <w:lang w:eastAsia="en-US"/>
        </w:rPr>
        <w:t>коронавирусной</w:t>
      </w:r>
      <w:proofErr w:type="spellEnd"/>
      <w:r>
        <w:rPr>
          <w:sz w:val="28"/>
          <w:szCs w:val="28"/>
          <w:lang w:eastAsia="en-US"/>
        </w:rPr>
        <w:t xml:space="preserve"> инфекции в 2020 году социальная политика параллельно ориентирована на содействие борьбе с пандемией и ее последствиями посредством поддержки наиболее уязвимых групп граждан.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2019 году были достигнуты целевые индикаторы роста заработной платы отдельным категориям работников, определенных «майскими» Указами  Президента Российской Федерации  2012 года в размере 100 и 200 процентов к среднемесячному доходу от трудовой деятельности,  сложившегося в регионе.</w:t>
      </w:r>
    </w:p>
    <w:p w:rsidR="00281E30" w:rsidRPr="00A46070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070">
        <w:rPr>
          <w:rFonts w:ascii="Times New Roman" w:hAnsi="Times New Roman" w:cs="Times New Roman"/>
          <w:sz w:val="28"/>
          <w:szCs w:val="28"/>
        </w:rPr>
        <w:t>В текущем финансовом году и в плановом периоде 2021 – 2022 годов  повышение оплаты труда работникам бюджетного сектора экономики остается одним из основных направлений бюджетных расходов.</w:t>
      </w:r>
    </w:p>
    <w:p w:rsidR="00281E30" w:rsidRPr="00A46070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070">
        <w:rPr>
          <w:rFonts w:ascii="Times New Roman" w:hAnsi="Times New Roman" w:cs="Times New Roman"/>
          <w:sz w:val="28"/>
          <w:szCs w:val="28"/>
        </w:rPr>
        <w:t>В  2020 году финансово обеспечено сохранение соотношения оплаты труда отдельным категориям работников, определенных «майскими» Указами Президента 2012 года (педагогическим работникам сферы образования, медицинским работникам, работникам в сфере культуры, социальным работникам) в размере 100 и 200 процентов к среднемесячному доходу от трудовой деятельности,  сложившегося в регионе</w:t>
      </w:r>
      <w:r w:rsidR="00A46070" w:rsidRPr="00A46070">
        <w:rPr>
          <w:rFonts w:ascii="Times New Roman" w:hAnsi="Times New Roman" w:cs="Times New Roman"/>
          <w:sz w:val="28"/>
          <w:szCs w:val="28"/>
        </w:rPr>
        <w:t>.</w:t>
      </w:r>
      <w:r w:rsidRPr="00A4607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81E30" w:rsidRPr="00A46070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070">
        <w:rPr>
          <w:rFonts w:ascii="Times New Roman" w:hAnsi="Times New Roman" w:cs="Times New Roman"/>
          <w:sz w:val="28"/>
          <w:szCs w:val="28"/>
        </w:rPr>
        <w:t xml:space="preserve">В соответствии с распоряжением Правительства области от 04.09.2020 № 314-р, с 1 октября 2020 года оплата труда работников  казенных, бюджетных и автономных учреждений, за исключением категорий работников, на которых распространяются Указы Президента Российской Федерации 2012 года, увеличена на 3,0 процента. </w:t>
      </w:r>
    </w:p>
    <w:p w:rsidR="00281E30" w:rsidRPr="00A46070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607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19.04.2000 № 82-ФЗ, в 2020 году предусмотрены  средства </w:t>
      </w:r>
      <w:r w:rsidR="00A46070">
        <w:rPr>
          <w:rFonts w:ascii="Times New Roman" w:hAnsi="Times New Roman" w:cs="Times New Roman"/>
          <w:sz w:val="28"/>
          <w:szCs w:val="28"/>
        </w:rPr>
        <w:t>городского</w:t>
      </w:r>
      <w:r w:rsidRPr="00A46070">
        <w:rPr>
          <w:rFonts w:ascii="Times New Roman" w:hAnsi="Times New Roman" w:cs="Times New Roman"/>
          <w:sz w:val="28"/>
          <w:szCs w:val="28"/>
        </w:rPr>
        <w:t xml:space="preserve"> бюджета на доведение оплаты труда до уровня МРОТ. Минимальный </w:t>
      </w:r>
      <w:proofErr w:type="gramStart"/>
      <w:r w:rsidRPr="00A46070">
        <w:rPr>
          <w:rFonts w:ascii="Times New Roman" w:hAnsi="Times New Roman" w:cs="Times New Roman"/>
          <w:sz w:val="28"/>
          <w:szCs w:val="28"/>
        </w:rPr>
        <w:t>размер оплаты труда</w:t>
      </w:r>
      <w:proofErr w:type="gramEnd"/>
      <w:r w:rsidRPr="00A46070">
        <w:rPr>
          <w:rFonts w:ascii="Times New Roman" w:hAnsi="Times New Roman" w:cs="Times New Roman"/>
          <w:sz w:val="28"/>
          <w:szCs w:val="28"/>
        </w:rPr>
        <w:t xml:space="preserve">  с 1 января 2020 года составил 12 130 рублей. Средства предусмотрены с учетом районн</w:t>
      </w:r>
      <w:r w:rsidR="00A46070">
        <w:rPr>
          <w:rFonts w:ascii="Times New Roman" w:hAnsi="Times New Roman" w:cs="Times New Roman"/>
          <w:sz w:val="28"/>
          <w:szCs w:val="28"/>
        </w:rPr>
        <w:t>ого</w:t>
      </w:r>
      <w:r w:rsidRPr="00A46070">
        <w:rPr>
          <w:rFonts w:ascii="Times New Roman" w:hAnsi="Times New Roman" w:cs="Times New Roman"/>
          <w:sz w:val="28"/>
          <w:szCs w:val="28"/>
        </w:rPr>
        <w:t xml:space="preserve"> коэффициент</w:t>
      </w:r>
      <w:r w:rsidR="00A46070">
        <w:rPr>
          <w:rFonts w:ascii="Times New Roman" w:hAnsi="Times New Roman" w:cs="Times New Roman"/>
          <w:sz w:val="28"/>
          <w:szCs w:val="28"/>
        </w:rPr>
        <w:t>а</w:t>
      </w:r>
      <w:r w:rsidRPr="00A46070">
        <w:rPr>
          <w:rFonts w:ascii="Times New Roman" w:hAnsi="Times New Roman" w:cs="Times New Roman"/>
          <w:sz w:val="28"/>
          <w:szCs w:val="28"/>
        </w:rPr>
        <w:t xml:space="preserve"> и процентной надбавки. </w:t>
      </w:r>
    </w:p>
    <w:p w:rsidR="00281E30" w:rsidRDefault="00F30405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281E30">
        <w:rPr>
          <w:sz w:val="28"/>
          <w:szCs w:val="28"/>
        </w:rPr>
        <w:t xml:space="preserve">инансирование бюджетных и автономных учреждений, которое осуществляется в форме субсидий на финансовое обеспечение выполнения </w:t>
      </w:r>
      <w:r>
        <w:rPr>
          <w:sz w:val="28"/>
          <w:szCs w:val="28"/>
        </w:rPr>
        <w:t>муниципального</w:t>
      </w:r>
      <w:r w:rsidR="00281E30">
        <w:rPr>
          <w:sz w:val="28"/>
          <w:szCs w:val="28"/>
        </w:rPr>
        <w:t xml:space="preserve"> задания и субсидий на иные цели.  </w:t>
      </w:r>
    </w:p>
    <w:p w:rsidR="00281E30" w:rsidRDefault="00281E30" w:rsidP="00281E3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В 2020 году основным приоритетом остается:</w:t>
      </w:r>
    </w:p>
    <w:p w:rsidR="00281E30" w:rsidRDefault="00281E30" w:rsidP="00281E3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-  реализация Указа Президента Российской Федерации от 7 мая 2018 года № 204 «О национальных целях и стратегических задачах развития Российской Федерации на период до 2024 года»;</w:t>
      </w:r>
    </w:p>
    <w:p w:rsidR="00281E30" w:rsidRDefault="00281E30" w:rsidP="00281E30">
      <w:pPr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сфере предоставления </w:t>
      </w:r>
      <w:r w:rsidR="00F30405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услуг:</w:t>
      </w:r>
    </w:p>
    <w:p w:rsidR="00281E30" w:rsidRDefault="00281E30" w:rsidP="00281E30">
      <w:pPr>
        <w:widowControl/>
        <w:numPr>
          <w:ilvl w:val="0"/>
          <w:numId w:val="6"/>
        </w:numPr>
        <w:autoSpaceDE/>
        <w:adjustRightInd/>
        <w:ind w:left="0" w:firstLine="70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формирование </w:t>
      </w:r>
      <w:r w:rsidR="00F30405">
        <w:rPr>
          <w:sz w:val="28"/>
          <w:szCs w:val="28"/>
          <w:lang w:eastAsia="en-US"/>
        </w:rPr>
        <w:t>муниципального</w:t>
      </w:r>
      <w:r>
        <w:rPr>
          <w:sz w:val="28"/>
          <w:szCs w:val="28"/>
          <w:lang w:eastAsia="en-US"/>
        </w:rPr>
        <w:t xml:space="preserve"> задания на оказание </w:t>
      </w:r>
      <w:r w:rsidR="00F30405">
        <w:rPr>
          <w:sz w:val="28"/>
          <w:szCs w:val="28"/>
          <w:lang w:eastAsia="en-US"/>
        </w:rPr>
        <w:t>муниципальных</w:t>
      </w:r>
      <w:r>
        <w:rPr>
          <w:sz w:val="28"/>
          <w:szCs w:val="28"/>
          <w:lang w:eastAsia="en-US"/>
        </w:rPr>
        <w:t xml:space="preserve"> услуг на основании общероссийских базовых (отраслевых) перечней государственных (муниципальных) услуг, оказываемых физическим лицам, и регионального перечня государственных (муниципальных) услуг, не включенных в общероссийские базовые (отраслевые) перечни, и работ, а также нормативов затрат на их оказание;</w:t>
      </w:r>
    </w:p>
    <w:p w:rsidR="00281E30" w:rsidRDefault="00281E30" w:rsidP="00281E30">
      <w:pPr>
        <w:widowControl/>
        <w:numPr>
          <w:ilvl w:val="0"/>
          <w:numId w:val="6"/>
        </w:numPr>
        <w:autoSpaceDE/>
        <w:adjustRightInd/>
        <w:ind w:left="0" w:firstLine="705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реализация механизма возврата субсидии на выполнение </w:t>
      </w:r>
      <w:r w:rsidR="00F30405">
        <w:rPr>
          <w:sz w:val="28"/>
          <w:szCs w:val="28"/>
          <w:lang w:eastAsia="en-US"/>
        </w:rPr>
        <w:t>муниципального</w:t>
      </w:r>
      <w:r>
        <w:rPr>
          <w:sz w:val="28"/>
          <w:szCs w:val="28"/>
          <w:lang w:eastAsia="en-US"/>
        </w:rPr>
        <w:t xml:space="preserve"> задания в случае неполного или некачественного его выполнения;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</w:t>
      </w:r>
      <w:r w:rsidR="00383621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бюджета, как и в предыдущие </w:t>
      </w:r>
      <w:proofErr w:type="gramStart"/>
      <w:r>
        <w:rPr>
          <w:sz w:val="28"/>
          <w:szCs w:val="28"/>
        </w:rPr>
        <w:t>годы</w:t>
      </w:r>
      <w:proofErr w:type="gramEnd"/>
      <w:r>
        <w:rPr>
          <w:sz w:val="28"/>
          <w:szCs w:val="28"/>
        </w:rPr>
        <w:t xml:space="preserve"> осуществляется  на основе кассового плана. Кассовый план формируется исходя из прогноза поступления по доходам и источникам финансирования дефицита бюджета.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течение 2018-2020 годов непрерывно реализуется комплекс мероприятий направленных на снижение объемов просроченной кредиторской задолженности</w:t>
      </w:r>
      <w:r w:rsidR="00383621">
        <w:rPr>
          <w:sz w:val="28"/>
          <w:szCs w:val="28"/>
        </w:rPr>
        <w:t>.</w:t>
      </w:r>
    </w:p>
    <w:p w:rsidR="00383621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Субсидии </w:t>
      </w:r>
      <w:r w:rsidR="00383621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бюджетным и автономным учреждениям на финансовое обеспечение выполнения </w:t>
      </w:r>
      <w:r w:rsidR="0038362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задания и субсидии на иную цель предоставляются из </w:t>
      </w:r>
      <w:r w:rsidR="00383621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 с учетом потребности в средствах и наличия фактических остатков средств на счетах  учреждений. Это позволило минимизировать остатки средств на лицевых счетах</w:t>
      </w:r>
      <w:r w:rsidR="00383621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</w:p>
    <w:p w:rsidR="00281E30" w:rsidRDefault="00281E30" w:rsidP="00281E30">
      <w:pPr>
        <w:pStyle w:val="1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бюджетной политики на 2021 - 2023 годы</w:t>
      </w:r>
    </w:p>
    <w:p w:rsidR="00281E30" w:rsidRDefault="00281E30" w:rsidP="00281E30">
      <w:pPr>
        <w:rPr>
          <w:sz w:val="28"/>
          <w:szCs w:val="28"/>
        </w:rPr>
      </w:pPr>
    </w:p>
    <w:p w:rsidR="00281E30" w:rsidRPr="0037472D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2D">
        <w:rPr>
          <w:rFonts w:ascii="Times New Roman" w:hAnsi="Times New Roman" w:cs="Times New Roman"/>
          <w:sz w:val="28"/>
          <w:szCs w:val="28"/>
        </w:rPr>
        <w:t xml:space="preserve">Бюджетная политика  </w:t>
      </w:r>
      <w:r w:rsidR="000D7FC7" w:rsidRPr="0037472D">
        <w:rPr>
          <w:rFonts w:ascii="Times New Roman" w:hAnsi="Times New Roman" w:cs="Times New Roman"/>
          <w:sz w:val="28"/>
          <w:szCs w:val="28"/>
        </w:rPr>
        <w:t xml:space="preserve"> </w:t>
      </w:r>
      <w:r w:rsidRPr="0037472D">
        <w:rPr>
          <w:rFonts w:ascii="Times New Roman" w:hAnsi="Times New Roman" w:cs="Times New Roman"/>
          <w:sz w:val="28"/>
          <w:szCs w:val="28"/>
        </w:rPr>
        <w:t xml:space="preserve">  по расходам на 2021 год и плановый период 2022 и 2023 годов будет направлена на обеспечение безусловного исполнения действующих обязательств, в том числе с учетом их оптимизации и повышения эффективности использования финансовых ресурсов за счет:</w:t>
      </w:r>
    </w:p>
    <w:p w:rsidR="00281E30" w:rsidRPr="0037472D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2D">
        <w:rPr>
          <w:rFonts w:ascii="Times New Roman" w:hAnsi="Times New Roman" w:cs="Times New Roman"/>
          <w:sz w:val="28"/>
          <w:szCs w:val="28"/>
        </w:rPr>
        <w:t xml:space="preserve">определения основных параметров </w:t>
      </w:r>
      <w:r w:rsidR="00157AD2" w:rsidRPr="0037472D">
        <w:rPr>
          <w:rFonts w:ascii="Times New Roman" w:hAnsi="Times New Roman" w:cs="Times New Roman"/>
          <w:sz w:val="28"/>
          <w:szCs w:val="28"/>
        </w:rPr>
        <w:t>городского</w:t>
      </w:r>
      <w:r w:rsidRPr="0037472D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gramStart"/>
      <w:r w:rsidRPr="0037472D">
        <w:rPr>
          <w:rFonts w:ascii="Times New Roman" w:hAnsi="Times New Roman" w:cs="Times New Roman"/>
          <w:sz w:val="28"/>
          <w:szCs w:val="28"/>
        </w:rPr>
        <w:t xml:space="preserve">исходя из ожидаемого прогноза поступлений доходов и допустимого уровня </w:t>
      </w:r>
      <w:r w:rsidR="00157AD2" w:rsidRPr="0037472D">
        <w:rPr>
          <w:rFonts w:ascii="Times New Roman" w:hAnsi="Times New Roman" w:cs="Times New Roman"/>
          <w:sz w:val="28"/>
          <w:szCs w:val="28"/>
        </w:rPr>
        <w:t>муниципального</w:t>
      </w:r>
      <w:r w:rsidRPr="0037472D">
        <w:rPr>
          <w:rFonts w:ascii="Times New Roman" w:hAnsi="Times New Roman" w:cs="Times New Roman"/>
          <w:sz w:val="28"/>
          <w:szCs w:val="28"/>
        </w:rPr>
        <w:t xml:space="preserve"> долга</w:t>
      </w:r>
      <w:proofErr w:type="gramEnd"/>
      <w:r w:rsidRPr="0037472D">
        <w:rPr>
          <w:rFonts w:ascii="Times New Roman" w:hAnsi="Times New Roman" w:cs="Times New Roman"/>
          <w:sz w:val="28"/>
          <w:szCs w:val="28"/>
        </w:rPr>
        <w:t>;</w:t>
      </w:r>
    </w:p>
    <w:p w:rsidR="00281E30" w:rsidRPr="0037472D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472D">
        <w:rPr>
          <w:rFonts w:ascii="Times New Roman" w:hAnsi="Times New Roman" w:cs="Times New Roman"/>
          <w:sz w:val="28"/>
          <w:szCs w:val="28"/>
        </w:rPr>
        <w:t xml:space="preserve">планирования бюджетных ассигнований на реализацию </w:t>
      </w:r>
      <w:r w:rsidR="0037472D" w:rsidRPr="0037472D">
        <w:rPr>
          <w:rFonts w:ascii="Times New Roman" w:hAnsi="Times New Roman" w:cs="Times New Roman"/>
          <w:sz w:val="28"/>
          <w:szCs w:val="28"/>
        </w:rPr>
        <w:t>муниципальных</w:t>
      </w:r>
      <w:r w:rsidRPr="0037472D">
        <w:rPr>
          <w:rFonts w:ascii="Times New Roman" w:hAnsi="Times New Roman" w:cs="Times New Roman"/>
          <w:sz w:val="28"/>
          <w:szCs w:val="28"/>
        </w:rPr>
        <w:t xml:space="preserve"> программ области с учетом результатов их реализации за предыдущий год, а также в тесной увязке с целевыми индикаторами и показателями, характеризующими достижение поставленных целей указанных программ;</w:t>
      </w:r>
    </w:p>
    <w:p w:rsidR="00281E30" w:rsidRPr="00D82DA0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2DA0">
        <w:rPr>
          <w:rFonts w:ascii="Times New Roman" w:hAnsi="Times New Roman" w:cs="Times New Roman"/>
          <w:sz w:val="28"/>
          <w:szCs w:val="28"/>
        </w:rPr>
        <w:t xml:space="preserve">увязки </w:t>
      </w:r>
      <w:r w:rsidR="00E83043" w:rsidRPr="00D82DA0">
        <w:rPr>
          <w:rFonts w:ascii="Times New Roman" w:hAnsi="Times New Roman" w:cs="Times New Roman"/>
          <w:sz w:val="28"/>
          <w:szCs w:val="28"/>
        </w:rPr>
        <w:t>муниципальных</w:t>
      </w:r>
      <w:r w:rsidRPr="00D82DA0">
        <w:rPr>
          <w:rFonts w:ascii="Times New Roman" w:hAnsi="Times New Roman" w:cs="Times New Roman"/>
          <w:sz w:val="28"/>
          <w:szCs w:val="28"/>
        </w:rPr>
        <w:t xml:space="preserve"> заданий на оказание услуг  с целями </w:t>
      </w:r>
      <w:r w:rsidR="00E83043" w:rsidRPr="00D82DA0">
        <w:rPr>
          <w:rFonts w:ascii="Times New Roman" w:hAnsi="Times New Roman" w:cs="Times New Roman"/>
          <w:sz w:val="28"/>
          <w:szCs w:val="28"/>
        </w:rPr>
        <w:t>муниципальных</w:t>
      </w:r>
      <w:r w:rsidRPr="00D82DA0">
        <w:rPr>
          <w:rFonts w:ascii="Times New Roman" w:hAnsi="Times New Roman" w:cs="Times New Roman"/>
          <w:sz w:val="28"/>
          <w:szCs w:val="28"/>
        </w:rPr>
        <w:t xml:space="preserve"> программ, усиление текущего контроля и ответственности за выполнение </w:t>
      </w:r>
      <w:r w:rsidR="00E83043" w:rsidRPr="00D82DA0">
        <w:rPr>
          <w:rFonts w:ascii="Times New Roman" w:hAnsi="Times New Roman" w:cs="Times New Roman"/>
          <w:sz w:val="28"/>
          <w:szCs w:val="28"/>
        </w:rPr>
        <w:t>муниципальных</w:t>
      </w:r>
      <w:r w:rsidRPr="00D82DA0">
        <w:rPr>
          <w:rFonts w:ascii="Times New Roman" w:hAnsi="Times New Roman" w:cs="Times New Roman"/>
          <w:sz w:val="28"/>
          <w:szCs w:val="28"/>
        </w:rPr>
        <w:t xml:space="preserve"> заданий;</w:t>
      </w:r>
    </w:p>
    <w:p w:rsidR="00281E30" w:rsidRPr="00E83043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043">
        <w:rPr>
          <w:rFonts w:ascii="Times New Roman" w:hAnsi="Times New Roman" w:cs="Times New Roman"/>
          <w:sz w:val="28"/>
          <w:szCs w:val="28"/>
        </w:rPr>
        <w:t xml:space="preserve">недопущения увеличения действующих и принятия новых расходных обязательств, не обеспеченных финансовыми источниками, а  также применения бюджетного маневра, означающего, что любые дополнительные расходы обеспечиваются за счет внутреннего перераспределения средств </w:t>
      </w:r>
      <w:proofErr w:type="gramStart"/>
      <w:r w:rsidRPr="00E8304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83043">
        <w:rPr>
          <w:rFonts w:ascii="Times New Roman" w:hAnsi="Times New Roman" w:cs="Times New Roman"/>
          <w:sz w:val="28"/>
          <w:szCs w:val="28"/>
        </w:rPr>
        <w:t xml:space="preserve"> наименее приоритетных;</w:t>
      </w:r>
    </w:p>
    <w:p w:rsidR="00281E30" w:rsidRPr="00DD1075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075">
        <w:rPr>
          <w:rFonts w:ascii="Times New Roman" w:hAnsi="Times New Roman" w:cs="Times New Roman"/>
          <w:sz w:val="28"/>
          <w:szCs w:val="28"/>
        </w:rPr>
        <w:t xml:space="preserve">участия, исходя из возможностей </w:t>
      </w:r>
      <w:r w:rsidR="0040413E" w:rsidRPr="00DD1075">
        <w:rPr>
          <w:rFonts w:ascii="Times New Roman" w:hAnsi="Times New Roman" w:cs="Times New Roman"/>
          <w:sz w:val="28"/>
          <w:szCs w:val="28"/>
        </w:rPr>
        <w:t>городского бюджета</w:t>
      </w:r>
      <w:r w:rsidRPr="00DD1075">
        <w:rPr>
          <w:rFonts w:ascii="Times New Roman" w:hAnsi="Times New Roman" w:cs="Times New Roman"/>
          <w:sz w:val="28"/>
          <w:szCs w:val="28"/>
        </w:rPr>
        <w:t xml:space="preserve">, в реализации программ и мероприятий, </w:t>
      </w:r>
      <w:proofErr w:type="spellStart"/>
      <w:r w:rsidRPr="00DD1075">
        <w:rPr>
          <w:rFonts w:ascii="Times New Roman" w:hAnsi="Times New Roman" w:cs="Times New Roman"/>
          <w:sz w:val="28"/>
          <w:szCs w:val="28"/>
        </w:rPr>
        <w:t>софинансируемых</w:t>
      </w:r>
      <w:proofErr w:type="spellEnd"/>
      <w:r w:rsidRPr="00DD1075">
        <w:rPr>
          <w:rFonts w:ascii="Times New Roman" w:hAnsi="Times New Roman" w:cs="Times New Roman"/>
          <w:sz w:val="28"/>
          <w:szCs w:val="28"/>
        </w:rPr>
        <w:t xml:space="preserve"> из </w:t>
      </w:r>
      <w:r w:rsidR="0040413E" w:rsidRPr="00DD1075">
        <w:rPr>
          <w:rFonts w:ascii="Times New Roman" w:hAnsi="Times New Roman" w:cs="Times New Roman"/>
          <w:sz w:val="28"/>
          <w:szCs w:val="28"/>
        </w:rPr>
        <w:t>областного</w:t>
      </w:r>
      <w:r w:rsidRPr="00DD1075">
        <w:rPr>
          <w:rFonts w:ascii="Times New Roman" w:hAnsi="Times New Roman" w:cs="Times New Roman"/>
          <w:sz w:val="28"/>
          <w:szCs w:val="28"/>
        </w:rPr>
        <w:t xml:space="preserve"> бюджета;</w:t>
      </w:r>
    </w:p>
    <w:p w:rsidR="00281E30" w:rsidRPr="00DD1075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075">
        <w:rPr>
          <w:rFonts w:ascii="Times New Roman" w:hAnsi="Times New Roman" w:cs="Times New Roman"/>
          <w:sz w:val="28"/>
          <w:szCs w:val="28"/>
        </w:rPr>
        <w:t xml:space="preserve">повышения эффективности </w:t>
      </w:r>
      <w:r w:rsidR="0040413E" w:rsidRPr="00DD1075">
        <w:rPr>
          <w:rFonts w:ascii="Times New Roman" w:hAnsi="Times New Roman" w:cs="Times New Roman"/>
          <w:sz w:val="28"/>
          <w:szCs w:val="28"/>
        </w:rPr>
        <w:t>муниципального</w:t>
      </w:r>
      <w:r w:rsidRPr="00DD1075">
        <w:rPr>
          <w:rFonts w:ascii="Times New Roman" w:hAnsi="Times New Roman" w:cs="Times New Roman"/>
          <w:sz w:val="28"/>
          <w:szCs w:val="28"/>
        </w:rPr>
        <w:t xml:space="preserve"> контроля, усиления ведомственного финансового контроля в отношении </w:t>
      </w:r>
      <w:r w:rsidR="0040413E" w:rsidRPr="00DD1075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Pr="00DD1075">
        <w:rPr>
          <w:rFonts w:ascii="Times New Roman" w:hAnsi="Times New Roman" w:cs="Times New Roman"/>
          <w:sz w:val="28"/>
          <w:szCs w:val="28"/>
        </w:rPr>
        <w:t>учреждений.</w:t>
      </w:r>
    </w:p>
    <w:p w:rsidR="00281E30" w:rsidRPr="00DD1075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075">
        <w:rPr>
          <w:rFonts w:ascii="Times New Roman" w:hAnsi="Times New Roman" w:cs="Times New Roman"/>
          <w:sz w:val="28"/>
          <w:szCs w:val="28"/>
        </w:rPr>
        <w:t>Приоритетным направлением бюджетной политики также является концентрация ресурсов на достижении целей, показателей и результатов региональных</w:t>
      </w:r>
      <w:r w:rsidR="00DD1075" w:rsidRPr="00DD1075">
        <w:rPr>
          <w:rFonts w:ascii="Times New Roman" w:hAnsi="Times New Roman" w:cs="Times New Roman"/>
          <w:sz w:val="28"/>
          <w:szCs w:val="28"/>
        </w:rPr>
        <w:t xml:space="preserve"> и местных</w:t>
      </w:r>
      <w:r w:rsidRPr="00DD1075">
        <w:rPr>
          <w:rFonts w:ascii="Times New Roman" w:hAnsi="Times New Roman" w:cs="Times New Roman"/>
          <w:sz w:val="28"/>
          <w:szCs w:val="28"/>
        </w:rPr>
        <w:t xml:space="preserve"> проектов, направленных на достижение соответствующих федеральных проектов в рамках реализации  национальных проектов.</w:t>
      </w:r>
    </w:p>
    <w:p w:rsidR="00281E30" w:rsidRPr="00DD1075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075">
        <w:rPr>
          <w:rFonts w:ascii="Times New Roman" w:hAnsi="Times New Roman" w:cs="Times New Roman"/>
          <w:sz w:val="28"/>
          <w:szCs w:val="28"/>
        </w:rPr>
        <w:t xml:space="preserve">Достижение целей региональных проектов обеспечивается реализацией </w:t>
      </w:r>
      <w:r w:rsidR="00DD1075" w:rsidRPr="00DD1075">
        <w:rPr>
          <w:rFonts w:ascii="Times New Roman" w:hAnsi="Times New Roman" w:cs="Times New Roman"/>
          <w:sz w:val="28"/>
          <w:szCs w:val="28"/>
        </w:rPr>
        <w:t xml:space="preserve">муниципальных и </w:t>
      </w:r>
      <w:r w:rsidRPr="00DD1075">
        <w:rPr>
          <w:rFonts w:ascii="Times New Roman" w:hAnsi="Times New Roman" w:cs="Times New Roman"/>
          <w:sz w:val="28"/>
          <w:szCs w:val="28"/>
        </w:rPr>
        <w:t xml:space="preserve">государственных программ Амурской области и входящих в них региональных проектов и иных мероприятий, сбалансированных по </w:t>
      </w:r>
      <w:r w:rsidRPr="00DD1075">
        <w:rPr>
          <w:rFonts w:ascii="Times New Roman" w:hAnsi="Times New Roman" w:cs="Times New Roman"/>
          <w:sz w:val="28"/>
          <w:szCs w:val="28"/>
        </w:rPr>
        <w:lastRenderedPageBreak/>
        <w:t>срокам, ожидаемым результатам и параметрам ресурсного обеспечения.</w:t>
      </w:r>
    </w:p>
    <w:p w:rsidR="00281E30" w:rsidRPr="0026058A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58A">
        <w:rPr>
          <w:rFonts w:ascii="Times New Roman" w:hAnsi="Times New Roman" w:cs="Times New Roman"/>
          <w:sz w:val="28"/>
          <w:szCs w:val="28"/>
        </w:rPr>
        <w:t xml:space="preserve">В целях </w:t>
      </w:r>
      <w:proofErr w:type="gramStart"/>
      <w:r w:rsidRPr="0026058A">
        <w:rPr>
          <w:rFonts w:ascii="Times New Roman" w:hAnsi="Times New Roman" w:cs="Times New Roman"/>
          <w:sz w:val="28"/>
          <w:szCs w:val="28"/>
        </w:rPr>
        <w:t>организации эффективной системы мониторинга реализации региональных проектов</w:t>
      </w:r>
      <w:proofErr w:type="gramEnd"/>
      <w:r w:rsidRPr="0026058A">
        <w:rPr>
          <w:rFonts w:ascii="Times New Roman" w:hAnsi="Times New Roman" w:cs="Times New Roman"/>
          <w:sz w:val="28"/>
          <w:szCs w:val="28"/>
        </w:rPr>
        <w:t xml:space="preserve"> обеспечивается: </w:t>
      </w:r>
    </w:p>
    <w:p w:rsidR="00281E30" w:rsidRPr="0026058A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58A">
        <w:rPr>
          <w:rFonts w:ascii="Times New Roman" w:hAnsi="Times New Roman" w:cs="Times New Roman"/>
          <w:sz w:val="28"/>
          <w:szCs w:val="28"/>
        </w:rPr>
        <w:t xml:space="preserve"> - обособление мероприятий региональных проектов и учет бюджетных ассигнований на их реализацию по отдельным кодам бюджетной классификации;</w:t>
      </w:r>
    </w:p>
    <w:p w:rsidR="00281E30" w:rsidRPr="0026058A" w:rsidRDefault="00281E30" w:rsidP="00281E30">
      <w:pPr>
        <w:pStyle w:val="a6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058A">
        <w:rPr>
          <w:rFonts w:ascii="Times New Roman" w:hAnsi="Times New Roman" w:cs="Times New Roman"/>
          <w:sz w:val="28"/>
          <w:szCs w:val="28"/>
        </w:rPr>
        <w:t xml:space="preserve"> - увязка направлений расходов </w:t>
      </w:r>
      <w:r w:rsidR="0026058A">
        <w:rPr>
          <w:rFonts w:ascii="Times New Roman" w:hAnsi="Times New Roman" w:cs="Times New Roman"/>
          <w:sz w:val="28"/>
          <w:szCs w:val="28"/>
        </w:rPr>
        <w:t xml:space="preserve">городского и </w:t>
      </w:r>
      <w:r w:rsidRPr="0026058A">
        <w:rPr>
          <w:rFonts w:ascii="Times New Roman" w:hAnsi="Times New Roman" w:cs="Times New Roman"/>
          <w:sz w:val="28"/>
          <w:szCs w:val="28"/>
        </w:rPr>
        <w:t>областного бюджет</w:t>
      </w:r>
      <w:r w:rsidR="0026058A">
        <w:rPr>
          <w:rFonts w:ascii="Times New Roman" w:hAnsi="Times New Roman" w:cs="Times New Roman"/>
          <w:sz w:val="28"/>
          <w:szCs w:val="28"/>
        </w:rPr>
        <w:t>ов</w:t>
      </w:r>
      <w:r w:rsidRPr="0026058A">
        <w:rPr>
          <w:rFonts w:ascii="Times New Roman" w:hAnsi="Times New Roman" w:cs="Times New Roman"/>
          <w:sz w:val="28"/>
          <w:szCs w:val="28"/>
        </w:rPr>
        <w:t xml:space="preserve"> с результатами региональных проектов, позволяющая осуществлять </w:t>
      </w:r>
      <w:proofErr w:type="gramStart"/>
      <w:r w:rsidRPr="0026058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26058A">
        <w:rPr>
          <w:rFonts w:ascii="Times New Roman" w:hAnsi="Times New Roman" w:cs="Times New Roman"/>
          <w:sz w:val="28"/>
          <w:szCs w:val="28"/>
        </w:rPr>
        <w:t xml:space="preserve"> использованием бюджетных средств на их реализацию.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и в прежние годы одним из важных направлений при формировании бюджета на 2021-2023 годы остается обеспечение повышения оплаты труда работникам бюджетного сектора экономики. </w:t>
      </w:r>
    </w:p>
    <w:p w:rsidR="00281E30" w:rsidRDefault="00281E30" w:rsidP="00281E30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Предусмотрены бюджетные ассигнования по  направлениям на сохранение достигнутого соотношения показателей повышения оплаты труда отдельных категорий работников бюджетной сферы определяемых  исходя из среднемесячного дохода от трудовой деятельности в регионе, который по оценке Минэкономразвития области составит на 2021 год – 47 401,55 рублей, на 2022 год – 50 767,06 рублей,  на 2023 год – 54 346,14 рублей.</w:t>
      </w:r>
      <w:proofErr w:type="gramEnd"/>
    </w:p>
    <w:p w:rsidR="00281E30" w:rsidRDefault="00281E30" w:rsidP="00281E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тем, что размер минимального </w:t>
      </w:r>
      <w:proofErr w:type="gramStart"/>
      <w:r>
        <w:rPr>
          <w:sz w:val="28"/>
          <w:szCs w:val="28"/>
        </w:rPr>
        <w:t>размера оплаты труда</w:t>
      </w:r>
      <w:proofErr w:type="gramEnd"/>
      <w:r>
        <w:rPr>
          <w:sz w:val="28"/>
          <w:szCs w:val="28"/>
        </w:rPr>
        <w:t xml:space="preserve"> на 2021 год прогнозируется в размере  12 792,0 рубля  в месяц, что относительно действующего размера МРОТ больше на 2,2 %, в связи с этим дополнительных бюджетных ассигнований на увеличение расходов на МРОТ не требуется.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рамках реализации Указа Президента Российской Федерации от 16.01.2017 № 13 «Об утверждении Основ государственной политики регионального развития Российской Федерации на период до 2025 года»  одной из задач является  привлечение граждан Российской Федерации к участию в государственном и муниципальном управлении, повышения их гражданской ответственности при решении вопросов социально-экономического и политического развития территорий, а также механизмов учета мнения населения при решении указанных</w:t>
      </w:r>
      <w:proofErr w:type="gramEnd"/>
      <w:r>
        <w:rPr>
          <w:sz w:val="28"/>
          <w:szCs w:val="28"/>
        </w:rPr>
        <w:t xml:space="preserve"> вопросов.</w:t>
      </w:r>
    </w:p>
    <w:p w:rsidR="00281E30" w:rsidRDefault="00281E30" w:rsidP="00281E30">
      <w:pPr>
        <w:pStyle w:val="11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рамках решения задачи по повышению эффективности оказания  муниципальных услуг будет продолжена работа по созданию стимулов для более рационального и экономного использования бюджетных средств  подведомственными учреждениями, сокращения доли неэффективных бюджетных расходов и экономии  средств при размещении заказов и исполнении обязательств, проведения инвентаризации имущества, закрепленного за учреждениями в целях сокращения  расходов, связанных с его содержанием, усилением работы по увеличению доходов  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оказания платных услуг (работ) и иной предпринимательской деятельности с направлением полученных доходов на финансовое обеспечение деятельности учреждений.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87611" w:rsidRDefault="00687611" w:rsidP="00281E30">
      <w:pPr>
        <w:ind w:firstLine="709"/>
        <w:jc w:val="both"/>
        <w:rPr>
          <w:sz w:val="28"/>
          <w:szCs w:val="28"/>
        </w:rPr>
      </w:pPr>
    </w:p>
    <w:p w:rsidR="00281E30" w:rsidRDefault="00281E30" w:rsidP="00281E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2021 года финансирование расходов местных бюджетов по содержанию прочего персонала муниципальных дошкольных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>образовательных организаций и муниципальных общеобразовательных организаций будет  осуществляться за счет средств субвенции из областного бюджета.</w:t>
      </w:r>
    </w:p>
    <w:p w:rsidR="00281E30" w:rsidRDefault="00281E30" w:rsidP="00281E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Бюджетная политика на 2021 год и на плановый период 2022 и 2023 годов в области </w:t>
      </w:r>
      <w:r w:rsidR="00687611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 будет направлена на совершенствование механизма контроля в финансово-бюджетной сфере.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указанном периоде будет продолжено развитие, направленное на повышение качества и эффективности внутреннего </w:t>
      </w:r>
      <w:r w:rsidR="00687611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финансового контроля, осуществляемого в целях обеспечения соблюдения бюджетного законодательства Российской Федерации и законодательства о контрактной системе в сфере закупок для </w:t>
      </w:r>
      <w:r w:rsidR="00687611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нужд, а также в целях профилактики и предупреждения нарушений в финансово-бюджетной сфере.</w:t>
      </w:r>
    </w:p>
    <w:p w:rsidR="00281E30" w:rsidRDefault="00281E30" w:rsidP="00281E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Основным направлением бюджетной политики в области  финансового контроля является организация соответствующей деятельности согласно изменениям в законодательстве Российской Федерации.</w:t>
      </w:r>
    </w:p>
    <w:p w:rsidR="00281E30" w:rsidRDefault="00281E30" w:rsidP="00281E30">
      <w:pPr>
        <w:widowControl/>
        <w:ind w:firstLine="708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 01.07.2020 в соответствии с изменениями в Бюджетный кодекс Российской Федерации внутренний государственный (муниципальный) финансовый контроль осуществляется в соответствии с федеральными стандартами, утвержденными нормативными правовыми актами Правительства Российской Федерации.</w:t>
      </w:r>
    </w:p>
    <w:p w:rsidR="00281E30" w:rsidRDefault="00281E30" w:rsidP="00281E3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полноценной реализации законодательных требований к деятельности органов </w:t>
      </w:r>
      <w:r w:rsidR="00F20656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финансового контроля первоочередными задачами в 2021 году будут являться: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развитие правоприменительной практики;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повышение эффективности </w:t>
      </w:r>
      <w:r w:rsidR="00D97A5D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финансового контроля;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совершенствование системы внутреннего финансового аудита в целях повышения качества финансового менеджмента.</w:t>
      </w:r>
    </w:p>
    <w:p w:rsidR="00281E30" w:rsidRDefault="00281E30" w:rsidP="00281E30">
      <w:pPr>
        <w:spacing w:after="1" w:line="3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2021 году и плановом периоде продолжится работа, направленная на совершенствование механизмов </w:t>
      </w:r>
      <w:r>
        <w:rPr>
          <w:color w:val="000000"/>
          <w:sz w:val="28"/>
          <w:szCs w:val="28"/>
          <w:shd w:val="clear" w:color="auto" w:fill="FFFFFF"/>
        </w:rPr>
        <w:t> повышения эффективности бюджетных расходов</w:t>
      </w:r>
      <w:r>
        <w:rPr>
          <w:sz w:val="28"/>
          <w:szCs w:val="28"/>
        </w:rPr>
        <w:t xml:space="preserve"> в ходе исполнения </w:t>
      </w:r>
      <w:r w:rsidR="00D97A5D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 по следующим направлениям:</w:t>
      </w:r>
    </w:p>
    <w:p w:rsidR="00281E30" w:rsidRDefault="00281E30" w:rsidP="00281E30">
      <w:pPr>
        <w:spacing w:after="1" w:line="3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принятие получателями бюджетных средств бюджетных и денежных обязательств строго в </w:t>
      </w:r>
      <w:proofErr w:type="gramStart"/>
      <w:r>
        <w:rPr>
          <w:sz w:val="28"/>
          <w:szCs w:val="28"/>
        </w:rPr>
        <w:t>пределах</w:t>
      </w:r>
      <w:proofErr w:type="gramEnd"/>
      <w:r>
        <w:rPr>
          <w:sz w:val="28"/>
          <w:szCs w:val="28"/>
        </w:rPr>
        <w:t xml:space="preserve"> доведенных до них лимитов бюджетных обязательств;</w:t>
      </w:r>
    </w:p>
    <w:p w:rsidR="00281E30" w:rsidRDefault="00281E30" w:rsidP="00281E30">
      <w:pPr>
        <w:spacing w:after="1" w:line="300" w:lineRule="atLeast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планирование кассовых разрывов и источников их покрытия в целях недопущения рисков неисполнения первоочередных и социально значимых обязательств, выполнения условий </w:t>
      </w:r>
      <w:proofErr w:type="spellStart"/>
      <w:r>
        <w:rPr>
          <w:sz w:val="28"/>
          <w:szCs w:val="28"/>
        </w:rPr>
        <w:t>софинансирования</w:t>
      </w:r>
      <w:proofErr w:type="spellEnd"/>
      <w:r>
        <w:rPr>
          <w:sz w:val="28"/>
          <w:szCs w:val="28"/>
        </w:rPr>
        <w:t xml:space="preserve"> государственной поддержки, оказываемой из </w:t>
      </w:r>
      <w:r w:rsidR="00D97A5D">
        <w:rPr>
          <w:sz w:val="28"/>
          <w:szCs w:val="28"/>
        </w:rPr>
        <w:t xml:space="preserve">областного и </w:t>
      </w:r>
      <w:r>
        <w:rPr>
          <w:sz w:val="28"/>
          <w:szCs w:val="28"/>
        </w:rPr>
        <w:t>федерального бюджет</w:t>
      </w:r>
      <w:r w:rsidR="00D97A5D">
        <w:rPr>
          <w:sz w:val="28"/>
          <w:szCs w:val="28"/>
        </w:rPr>
        <w:t>ов</w:t>
      </w:r>
      <w:r>
        <w:rPr>
          <w:sz w:val="28"/>
          <w:szCs w:val="28"/>
        </w:rPr>
        <w:t>;</w:t>
      </w:r>
      <w:proofErr w:type="gramEnd"/>
    </w:p>
    <w:p w:rsidR="00281E30" w:rsidRDefault="00281E30" w:rsidP="00281E30">
      <w:pPr>
        <w:spacing w:after="1" w:line="3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исполнение бюджета на основе кассового плана;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реализации комплекса мер, направленных на недопущение образования просроченной кредиторской задолженности по принятым обязательствам, в первую очередь, по заработной плате и социальным выплатам.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Также будет продолжена работа по повышению текущей ликвидности </w:t>
      </w:r>
      <w:r>
        <w:rPr>
          <w:sz w:val="28"/>
          <w:szCs w:val="28"/>
        </w:rPr>
        <w:lastRenderedPageBreak/>
        <w:t xml:space="preserve">единого счета бюджета, в том числе за счет: 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использования механизмов временного заимствования свободных остатков средств  бюджетных и автономных учреждений;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 требований к ограничению размеров авансовых платежей в контрактах (договорах) заключаемых получателями бюджетных средств</w:t>
      </w:r>
      <w:r>
        <w:t xml:space="preserve"> </w:t>
      </w:r>
      <w:r>
        <w:rPr>
          <w:sz w:val="28"/>
          <w:szCs w:val="28"/>
        </w:rPr>
        <w:t>и распространение этих требований на  бюджетные и автономные учреждения;</w:t>
      </w:r>
    </w:p>
    <w:p w:rsidR="00281E30" w:rsidRDefault="00281E30" w:rsidP="00281E3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привлечения при необходимости  кредитов из </w:t>
      </w:r>
      <w:r w:rsidR="00D97A5D">
        <w:rPr>
          <w:sz w:val="28"/>
          <w:szCs w:val="28"/>
        </w:rPr>
        <w:t>областного</w:t>
      </w:r>
      <w:r>
        <w:rPr>
          <w:sz w:val="28"/>
          <w:szCs w:val="28"/>
        </w:rPr>
        <w:t xml:space="preserve"> бюджета на пополнение остатков средств </w:t>
      </w:r>
      <w:r w:rsidR="00931C6B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бюджета.</w:t>
      </w:r>
    </w:p>
    <w:p w:rsidR="00281E30" w:rsidRDefault="00281E30" w:rsidP="00281E30">
      <w:pPr>
        <w:ind w:firstLine="709"/>
        <w:jc w:val="center"/>
        <w:rPr>
          <w:b/>
          <w:sz w:val="28"/>
          <w:szCs w:val="28"/>
        </w:rPr>
      </w:pPr>
    </w:p>
    <w:p w:rsidR="00281E30" w:rsidRDefault="00281E30" w:rsidP="00281E3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направления долговой политики на 2021 год</w:t>
      </w:r>
    </w:p>
    <w:p w:rsidR="00281E30" w:rsidRDefault="00281E30" w:rsidP="00281E30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плановый период 2022 и 2023 годов</w:t>
      </w:r>
    </w:p>
    <w:p w:rsidR="00281E30" w:rsidRDefault="00281E30" w:rsidP="00281E30">
      <w:pPr>
        <w:ind w:firstLine="709"/>
        <w:jc w:val="both"/>
        <w:rPr>
          <w:b/>
          <w:sz w:val="28"/>
          <w:szCs w:val="28"/>
        </w:rPr>
      </w:pPr>
    </w:p>
    <w:p w:rsidR="00B33967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долговой политики </w:t>
      </w:r>
      <w:r w:rsidR="00B33967">
        <w:rPr>
          <w:sz w:val="28"/>
          <w:szCs w:val="28"/>
        </w:rPr>
        <w:t>города Тында</w:t>
      </w:r>
      <w:r>
        <w:rPr>
          <w:sz w:val="28"/>
          <w:szCs w:val="28"/>
        </w:rPr>
        <w:t xml:space="preserve"> на 2021 год и плановый период 2022–2023 годов будут строиться в соответствии с </w:t>
      </w:r>
      <w:r w:rsidR="00B33967">
        <w:rPr>
          <w:sz w:val="28"/>
          <w:szCs w:val="28"/>
        </w:rPr>
        <w:t>муниципальной</w:t>
      </w:r>
      <w:r>
        <w:rPr>
          <w:sz w:val="28"/>
          <w:szCs w:val="28"/>
        </w:rPr>
        <w:t xml:space="preserve"> </w:t>
      </w:r>
      <w:hyperlink r:id="rId7" w:history="1">
        <w:r>
          <w:rPr>
            <w:rStyle w:val="a8"/>
            <w:color w:val="auto"/>
            <w:sz w:val="28"/>
            <w:szCs w:val="28"/>
            <w:u w:val="none"/>
          </w:rPr>
          <w:t>программой</w:t>
        </w:r>
      </w:hyperlink>
      <w:r>
        <w:rPr>
          <w:sz w:val="28"/>
          <w:szCs w:val="28"/>
        </w:rPr>
        <w:t xml:space="preserve">  «Повышение эффективности </w:t>
      </w:r>
      <w:r w:rsidR="00B33967">
        <w:rPr>
          <w:sz w:val="28"/>
          <w:szCs w:val="28"/>
        </w:rPr>
        <w:t>управления муниципальными финансами и муниципальным долгом города Тынды на 2015-2024 годы».</w:t>
      </w:r>
    </w:p>
    <w:p w:rsidR="00281E30" w:rsidRDefault="00B33967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1E30">
        <w:rPr>
          <w:sz w:val="28"/>
          <w:szCs w:val="28"/>
        </w:rPr>
        <w:t xml:space="preserve">Под долговой политикой понимается стратегия управления </w:t>
      </w:r>
      <w:r>
        <w:rPr>
          <w:sz w:val="28"/>
          <w:szCs w:val="28"/>
        </w:rPr>
        <w:t>муниципальными</w:t>
      </w:r>
      <w:r w:rsidR="00281E30">
        <w:rPr>
          <w:sz w:val="28"/>
          <w:szCs w:val="28"/>
        </w:rPr>
        <w:t xml:space="preserve"> заимствованиями, направленная на обеспечение экономически обоснованного объема и структуры </w:t>
      </w:r>
      <w:r>
        <w:rPr>
          <w:sz w:val="28"/>
          <w:szCs w:val="28"/>
        </w:rPr>
        <w:t>муниципального</w:t>
      </w:r>
      <w:r w:rsidR="00281E30">
        <w:rPr>
          <w:sz w:val="28"/>
          <w:szCs w:val="28"/>
        </w:rPr>
        <w:t xml:space="preserve"> долга </w:t>
      </w:r>
      <w:r>
        <w:rPr>
          <w:sz w:val="28"/>
          <w:szCs w:val="28"/>
        </w:rPr>
        <w:t>города Тында</w:t>
      </w:r>
      <w:r w:rsidR="00281E30">
        <w:rPr>
          <w:sz w:val="28"/>
          <w:szCs w:val="28"/>
        </w:rPr>
        <w:t xml:space="preserve">, минимизацию стоимости его обслуживания, равномерное распределение во времени платежей, связанных с </w:t>
      </w:r>
      <w:r>
        <w:rPr>
          <w:sz w:val="28"/>
          <w:szCs w:val="28"/>
        </w:rPr>
        <w:t xml:space="preserve">муниципальным </w:t>
      </w:r>
      <w:r w:rsidR="00281E30">
        <w:rPr>
          <w:sz w:val="28"/>
          <w:szCs w:val="28"/>
        </w:rPr>
        <w:t xml:space="preserve"> долгом, а также безусловное соблюдение ограничений, установленных Бюджетным кодексом Российской Федерации (далее – БК РФ).</w:t>
      </w:r>
    </w:p>
    <w:p w:rsidR="00DA4F14" w:rsidRDefault="00DA4F14" w:rsidP="00281E30">
      <w:pPr>
        <w:adjustRightInd/>
        <w:ind w:firstLine="709"/>
        <w:jc w:val="center"/>
        <w:outlineLvl w:val="1"/>
        <w:rPr>
          <w:sz w:val="28"/>
          <w:szCs w:val="28"/>
        </w:rPr>
      </w:pP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</w:p>
    <w:p w:rsidR="00281E30" w:rsidRDefault="00281E30" w:rsidP="00281E30">
      <w:pPr>
        <w:adjustRightInd/>
        <w:jc w:val="center"/>
        <w:outlineLvl w:val="1"/>
        <w:rPr>
          <w:b/>
          <w:sz w:val="28"/>
          <w:szCs w:val="28"/>
        </w:rPr>
      </w:pPr>
      <w:r w:rsidRPr="00DA4F14">
        <w:rPr>
          <w:b/>
          <w:sz w:val="28"/>
          <w:szCs w:val="28"/>
        </w:rPr>
        <w:t xml:space="preserve"> Цели и задачи долговой политики </w:t>
      </w:r>
    </w:p>
    <w:p w:rsidR="00DA4F14" w:rsidRPr="00DA4F14" w:rsidRDefault="00DA4F14" w:rsidP="00281E30">
      <w:pPr>
        <w:adjustRightInd/>
        <w:jc w:val="center"/>
        <w:outlineLvl w:val="1"/>
        <w:rPr>
          <w:b/>
          <w:sz w:val="28"/>
          <w:szCs w:val="28"/>
        </w:rPr>
      </w:pP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Первостепенной стратегической задачей в 2021 году и плановом периоде 2022 и 2023 годов является проведение взвешенной долговой политики, поэтапное снижение отношения </w:t>
      </w:r>
      <w:r w:rsidR="00DA4F14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долга к объему налоговых и неналоговых доходов </w:t>
      </w:r>
      <w:r w:rsidR="00DA4F14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</w:t>
      </w:r>
      <w:r w:rsidR="00DA4F14">
        <w:rPr>
          <w:sz w:val="28"/>
          <w:szCs w:val="28"/>
        </w:rPr>
        <w:t>.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долговой политики на 2021 год и плановый период 2022–2023 годов будет осуществляться в соответствии со следующими целями: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сбалансированности </w:t>
      </w:r>
      <w:r w:rsidR="00D12EA4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бюджета;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экономически обоснованного объема и структуры </w:t>
      </w:r>
      <w:r w:rsidR="00E360F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долга, совершенствование механизмов управления </w:t>
      </w:r>
      <w:r w:rsidR="00E360F7">
        <w:rPr>
          <w:sz w:val="28"/>
          <w:szCs w:val="28"/>
        </w:rPr>
        <w:t>муниципальным</w:t>
      </w:r>
      <w:r>
        <w:rPr>
          <w:sz w:val="28"/>
          <w:szCs w:val="28"/>
        </w:rPr>
        <w:t xml:space="preserve"> долгом;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исполнения обязательств по обслуживанию и погашению </w:t>
      </w:r>
      <w:r w:rsidR="00E360F7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долга в полном объеме;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минимально возможной стоимости обслуживания долговых обязательств</w:t>
      </w:r>
      <w:r w:rsidR="00E360F7">
        <w:rPr>
          <w:sz w:val="28"/>
          <w:szCs w:val="28"/>
        </w:rPr>
        <w:t>.</w:t>
      </w:r>
    </w:p>
    <w:p w:rsidR="0054729D" w:rsidRDefault="0054729D" w:rsidP="00281E30">
      <w:pPr>
        <w:adjustRightInd/>
        <w:ind w:firstLine="709"/>
        <w:jc w:val="both"/>
        <w:rPr>
          <w:sz w:val="28"/>
          <w:szCs w:val="28"/>
        </w:rPr>
      </w:pPr>
    </w:p>
    <w:p w:rsidR="0054729D" w:rsidRDefault="0054729D" w:rsidP="00281E30">
      <w:pPr>
        <w:adjustRightInd/>
        <w:ind w:firstLine="709"/>
        <w:jc w:val="both"/>
        <w:rPr>
          <w:sz w:val="28"/>
          <w:szCs w:val="28"/>
        </w:rPr>
      </w:pPr>
    </w:p>
    <w:p w:rsidR="00281E30" w:rsidRDefault="00281E30" w:rsidP="00281E30">
      <w:pPr>
        <w:adjustRightInd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Pr="008D567A">
        <w:rPr>
          <w:b/>
          <w:sz w:val="28"/>
          <w:szCs w:val="28"/>
        </w:rPr>
        <w:t xml:space="preserve">Инструменты реализации долговой политики </w:t>
      </w:r>
    </w:p>
    <w:p w:rsidR="008D567A" w:rsidRPr="008D567A" w:rsidRDefault="008D567A" w:rsidP="00281E30">
      <w:pPr>
        <w:adjustRightInd/>
        <w:jc w:val="center"/>
        <w:outlineLvl w:val="1"/>
        <w:rPr>
          <w:b/>
          <w:sz w:val="28"/>
          <w:szCs w:val="28"/>
        </w:rPr>
      </w:pP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инструментов реализации долговой политики </w:t>
      </w:r>
      <w:r w:rsidR="008D567A">
        <w:rPr>
          <w:sz w:val="28"/>
          <w:szCs w:val="28"/>
        </w:rPr>
        <w:t>города Тынды</w:t>
      </w:r>
      <w:r>
        <w:rPr>
          <w:sz w:val="28"/>
          <w:szCs w:val="28"/>
        </w:rPr>
        <w:t xml:space="preserve"> на 2021 год и плановый период 2022–2023 годов сформирован в соответствии с требованиями БК РФ и включает в себя следующ</w:t>
      </w:r>
      <w:r w:rsidR="00822339">
        <w:rPr>
          <w:sz w:val="28"/>
          <w:szCs w:val="28"/>
        </w:rPr>
        <w:t>ее: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Получение кредитов от кредитных организаций.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Инструмент позволяет привлекать финансовые ресурсы при возникновении потребности в пределах достаточно продолжительного периода их доступности и досрочно возвращать при наличии возможности без излишних финансовых потерь.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применении данного инструмента используется конкурентный способ определения исполнителей финансовых услуг в соответствии с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нужд, что позволяет экономить бюджетные средства в связи со снижением начальной максимальной цены контрактов на привлечение финансовых ресурсов.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Привлечение бюджетных кредитов в </w:t>
      </w:r>
      <w:r w:rsidR="00822339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бюджет от других бюджетов бюджетной системы Российской Федерации.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Преимуществами данного инструмента являются низкие процентные ставки, позволяющие снизить расходы </w:t>
      </w:r>
      <w:r w:rsidR="00822339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 на обслуживание </w:t>
      </w:r>
      <w:r w:rsidR="008223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долга и направить высвободившиеся финансовые ресурсы на решение приоритетных задач</w:t>
      </w:r>
      <w:r w:rsidR="00822339">
        <w:rPr>
          <w:sz w:val="28"/>
          <w:szCs w:val="28"/>
        </w:rPr>
        <w:t>.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</w:p>
    <w:p w:rsidR="00281E30" w:rsidRPr="00822339" w:rsidRDefault="00281E30" w:rsidP="00281E30">
      <w:pPr>
        <w:adjustRightInd/>
        <w:ind w:firstLine="709"/>
        <w:jc w:val="center"/>
        <w:outlineLvl w:val="1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822339">
        <w:rPr>
          <w:b/>
          <w:sz w:val="28"/>
          <w:szCs w:val="28"/>
        </w:rPr>
        <w:t xml:space="preserve">Основные мероприятия по сокращению объема </w:t>
      </w:r>
    </w:p>
    <w:p w:rsidR="00281E30" w:rsidRDefault="00281E30" w:rsidP="00281E30">
      <w:pPr>
        <w:adjustRightInd/>
        <w:ind w:firstLine="709"/>
        <w:jc w:val="center"/>
        <w:outlineLvl w:val="1"/>
        <w:rPr>
          <w:b/>
          <w:sz w:val="28"/>
          <w:szCs w:val="28"/>
        </w:rPr>
      </w:pPr>
      <w:bookmarkStart w:id="0" w:name="_GoBack"/>
      <w:bookmarkEnd w:id="0"/>
      <w:r w:rsidRPr="00822339">
        <w:rPr>
          <w:b/>
          <w:sz w:val="28"/>
          <w:szCs w:val="28"/>
        </w:rPr>
        <w:t xml:space="preserve">нного долга и дефицита </w:t>
      </w:r>
      <w:r w:rsidR="00822339">
        <w:rPr>
          <w:b/>
          <w:sz w:val="28"/>
          <w:szCs w:val="28"/>
        </w:rPr>
        <w:t xml:space="preserve">городского </w:t>
      </w:r>
      <w:r w:rsidRPr="00822339">
        <w:rPr>
          <w:b/>
          <w:sz w:val="28"/>
          <w:szCs w:val="28"/>
        </w:rPr>
        <w:t xml:space="preserve"> бюджета</w:t>
      </w:r>
    </w:p>
    <w:p w:rsidR="00822339" w:rsidRDefault="00822339" w:rsidP="00281E30">
      <w:pPr>
        <w:adjustRightInd/>
        <w:ind w:firstLine="709"/>
        <w:jc w:val="center"/>
        <w:outlineLvl w:val="1"/>
        <w:rPr>
          <w:sz w:val="28"/>
          <w:szCs w:val="28"/>
        </w:rPr>
      </w:pP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мероприятиями по сокращению объема </w:t>
      </w:r>
      <w:r w:rsidR="008223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долга и дефицита областного бюджета являются: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поддержание уровня </w:t>
      </w:r>
      <w:r w:rsidR="008223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долга и расходов на его обслуживание на безопасном уровне;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привлечение заимствований на среднесрочный и долгосрочный периоды на благоприятных для </w:t>
      </w:r>
      <w:r w:rsidR="00822339">
        <w:rPr>
          <w:sz w:val="28"/>
          <w:szCs w:val="28"/>
        </w:rPr>
        <w:t>города Тынды</w:t>
      </w:r>
      <w:r>
        <w:rPr>
          <w:sz w:val="28"/>
          <w:szCs w:val="28"/>
        </w:rPr>
        <w:t xml:space="preserve"> условиях в целях оптимизации структуры </w:t>
      </w:r>
      <w:r w:rsidR="008223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долга по срокам погашения и равномерного распределения долговой нагрузки на </w:t>
      </w:r>
      <w:r w:rsidR="00822339">
        <w:rPr>
          <w:sz w:val="28"/>
          <w:szCs w:val="28"/>
        </w:rPr>
        <w:t>городской</w:t>
      </w:r>
      <w:r>
        <w:rPr>
          <w:sz w:val="28"/>
          <w:szCs w:val="28"/>
        </w:rPr>
        <w:t xml:space="preserve"> бюджет;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ежегодного анализа объема и состава задолженности, в том числе с точки зрения сроков погашения, стоимости обслуживания заимствований, влияния на общую платежеспособность;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осуществление мониторинга соответствия параметров </w:t>
      </w:r>
      <w:r w:rsidR="00822339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долга ограничениям, установленным БК РФ;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совершенствование практики проведения конкурсных процедур по заключению </w:t>
      </w:r>
      <w:r w:rsidR="00822339">
        <w:rPr>
          <w:sz w:val="28"/>
          <w:szCs w:val="28"/>
        </w:rPr>
        <w:t>муниципальных</w:t>
      </w:r>
      <w:r>
        <w:rPr>
          <w:sz w:val="28"/>
          <w:szCs w:val="28"/>
        </w:rPr>
        <w:t xml:space="preserve"> контрактов по открытию кредитных линий в целях финансирования дефицита </w:t>
      </w:r>
      <w:r w:rsidR="00DC40D3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</w:t>
      </w:r>
      <w:r w:rsidR="00DC40D3">
        <w:rPr>
          <w:sz w:val="28"/>
          <w:szCs w:val="28"/>
        </w:rPr>
        <w:t>;</w:t>
      </w:r>
    </w:p>
    <w:p w:rsidR="00281E30" w:rsidRDefault="00281E30" w:rsidP="00281E30">
      <w:pPr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проведение эффективной политики администрирования налоговых и неналоговых доходов </w:t>
      </w:r>
      <w:r w:rsidR="00327642">
        <w:rPr>
          <w:sz w:val="28"/>
          <w:szCs w:val="28"/>
        </w:rPr>
        <w:t>городского</w:t>
      </w:r>
      <w:r>
        <w:rPr>
          <w:sz w:val="28"/>
          <w:szCs w:val="28"/>
        </w:rPr>
        <w:t xml:space="preserve"> бюджета</w:t>
      </w:r>
      <w:r w:rsidR="00712B97">
        <w:rPr>
          <w:sz w:val="28"/>
          <w:szCs w:val="28"/>
        </w:rPr>
        <w:t>.</w:t>
      </w:r>
    </w:p>
    <w:sectPr w:rsidR="00281E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54400"/>
    <w:multiLevelType w:val="hybridMultilevel"/>
    <w:tmpl w:val="3FD2D9BC"/>
    <w:lvl w:ilvl="0" w:tplc="D2EAD49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C63005E"/>
    <w:multiLevelType w:val="hybridMultilevel"/>
    <w:tmpl w:val="F846363A"/>
    <w:lvl w:ilvl="0" w:tplc="DB90B19A">
      <w:start w:val="1"/>
      <w:numFmt w:val="decimal"/>
      <w:lvlText w:val="%1)"/>
      <w:lvlJc w:val="left"/>
      <w:pPr>
        <w:ind w:left="1155" w:hanging="45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2F76606"/>
    <w:multiLevelType w:val="multilevel"/>
    <w:tmpl w:val="8DA6972E"/>
    <w:lvl w:ilvl="0">
      <w:start w:val="1"/>
      <w:numFmt w:val="decimal"/>
      <w:lvlText w:val="%1"/>
      <w:lvlJc w:val="left"/>
      <w:pPr>
        <w:ind w:left="450" w:hanging="450"/>
      </w:pPr>
    </w:lvl>
    <w:lvl w:ilvl="1">
      <w:start w:val="1"/>
      <w:numFmt w:val="decimal"/>
      <w:lvlText w:val="%1.%2"/>
      <w:lvlJc w:val="left"/>
      <w:pPr>
        <w:ind w:left="1159" w:hanging="450"/>
      </w:p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832" w:hanging="216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00A"/>
    <w:rsid w:val="00084EBF"/>
    <w:rsid w:val="000D7FC7"/>
    <w:rsid w:val="00151C9B"/>
    <w:rsid w:val="00157AD2"/>
    <w:rsid w:val="001C05E9"/>
    <w:rsid w:val="001C6319"/>
    <w:rsid w:val="0026058A"/>
    <w:rsid w:val="00281E30"/>
    <w:rsid w:val="002D5499"/>
    <w:rsid w:val="00327642"/>
    <w:rsid w:val="003464AB"/>
    <w:rsid w:val="0037472D"/>
    <w:rsid w:val="00383621"/>
    <w:rsid w:val="0040413E"/>
    <w:rsid w:val="0047115B"/>
    <w:rsid w:val="00503329"/>
    <w:rsid w:val="005149A3"/>
    <w:rsid w:val="0054729D"/>
    <w:rsid w:val="005B400A"/>
    <w:rsid w:val="005D4D75"/>
    <w:rsid w:val="00642220"/>
    <w:rsid w:val="00687611"/>
    <w:rsid w:val="006C64D1"/>
    <w:rsid w:val="00712B97"/>
    <w:rsid w:val="00796119"/>
    <w:rsid w:val="00822339"/>
    <w:rsid w:val="008D567A"/>
    <w:rsid w:val="00931C6B"/>
    <w:rsid w:val="00965686"/>
    <w:rsid w:val="00966F3B"/>
    <w:rsid w:val="009D47B5"/>
    <w:rsid w:val="00A46070"/>
    <w:rsid w:val="00A5507A"/>
    <w:rsid w:val="00B33967"/>
    <w:rsid w:val="00B514BB"/>
    <w:rsid w:val="00BE2FDC"/>
    <w:rsid w:val="00C3037E"/>
    <w:rsid w:val="00C421FE"/>
    <w:rsid w:val="00C54884"/>
    <w:rsid w:val="00CD740C"/>
    <w:rsid w:val="00D000CE"/>
    <w:rsid w:val="00D12EA4"/>
    <w:rsid w:val="00D6411E"/>
    <w:rsid w:val="00D82DA0"/>
    <w:rsid w:val="00D97A5D"/>
    <w:rsid w:val="00DA4F14"/>
    <w:rsid w:val="00DC40D3"/>
    <w:rsid w:val="00DD1075"/>
    <w:rsid w:val="00E303C3"/>
    <w:rsid w:val="00E31ADF"/>
    <w:rsid w:val="00E360F7"/>
    <w:rsid w:val="00E36514"/>
    <w:rsid w:val="00E83043"/>
    <w:rsid w:val="00F20656"/>
    <w:rsid w:val="00F30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1E30"/>
    <w:pPr>
      <w:keepNext/>
      <w:widowControl/>
      <w:autoSpaceDE/>
      <w:autoSpaceDN/>
      <w:adjustRightInd/>
      <w:spacing w:before="240" w:after="60" w:line="36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E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81E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1E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281E30"/>
  </w:style>
  <w:style w:type="paragraph" w:styleId="a6">
    <w:name w:val="No Spacing"/>
    <w:link w:val="a5"/>
    <w:uiPriority w:val="1"/>
    <w:qFormat/>
    <w:rsid w:val="00281E30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List Paragraph"/>
    <w:basedOn w:val="a"/>
    <w:uiPriority w:val="34"/>
    <w:qFormat/>
    <w:rsid w:val="00281E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81E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1E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Без интервала1"/>
    <w:rsid w:val="00281E30"/>
    <w:pPr>
      <w:spacing w:after="0" w:line="240" w:lineRule="auto"/>
    </w:pPr>
    <w:rPr>
      <w:rFonts w:ascii="Calibri" w:eastAsia="Times New Roman" w:hAnsi="Calibri" w:cs="Calibri"/>
    </w:rPr>
  </w:style>
  <w:style w:type="character" w:styleId="a8">
    <w:name w:val="Hyperlink"/>
    <w:basedOn w:val="a0"/>
    <w:uiPriority w:val="99"/>
    <w:semiHidden/>
    <w:unhideWhenUsed/>
    <w:rsid w:val="00281E30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81E30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876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761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1E3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81E30"/>
    <w:pPr>
      <w:keepNext/>
      <w:widowControl/>
      <w:autoSpaceDE/>
      <w:autoSpaceDN/>
      <w:adjustRightInd/>
      <w:spacing w:before="240" w:after="60" w:line="360" w:lineRule="auto"/>
      <w:jc w:val="both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1E3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81E3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81E3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Без интервала Знак"/>
    <w:link w:val="a6"/>
    <w:uiPriority w:val="1"/>
    <w:locked/>
    <w:rsid w:val="00281E30"/>
  </w:style>
  <w:style w:type="paragraph" w:styleId="a6">
    <w:name w:val="No Spacing"/>
    <w:link w:val="a5"/>
    <w:uiPriority w:val="1"/>
    <w:qFormat/>
    <w:rsid w:val="00281E30"/>
    <w:pPr>
      <w:widowControl w:val="0"/>
      <w:autoSpaceDE w:val="0"/>
      <w:autoSpaceDN w:val="0"/>
      <w:adjustRightInd w:val="0"/>
      <w:spacing w:after="0" w:line="240" w:lineRule="auto"/>
    </w:pPr>
  </w:style>
  <w:style w:type="paragraph" w:styleId="a7">
    <w:name w:val="List Paragraph"/>
    <w:basedOn w:val="a"/>
    <w:uiPriority w:val="34"/>
    <w:qFormat/>
    <w:rsid w:val="00281E30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281E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81E3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11">
    <w:name w:val="Без интервала1"/>
    <w:rsid w:val="00281E30"/>
    <w:pPr>
      <w:spacing w:after="0" w:line="240" w:lineRule="auto"/>
    </w:pPr>
    <w:rPr>
      <w:rFonts w:ascii="Calibri" w:eastAsia="Times New Roman" w:hAnsi="Calibri" w:cs="Calibri"/>
    </w:rPr>
  </w:style>
  <w:style w:type="character" w:styleId="a8">
    <w:name w:val="Hyperlink"/>
    <w:basedOn w:val="a0"/>
    <w:uiPriority w:val="99"/>
    <w:semiHidden/>
    <w:unhideWhenUsed/>
    <w:rsid w:val="00281E30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281E30"/>
    <w:rPr>
      <w:color w:val="800080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68761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8761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293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DBF117632B37DDF870163EA9FACD1D30F9E6E34B3A3798A7341CBC4F938AFBE5F04A090918EC4949F0D8B4NA2C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80BB48-F985-41F3-A277-B4FE43357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12</Pages>
  <Words>4316</Words>
  <Characters>24602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I.M. Boriskina</dc:creator>
  <cp:keywords/>
  <dc:description/>
  <cp:lastModifiedBy>I.M. Boriskina</cp:lastModifiedBy>
  <cp:revision>60</cp:revision>
  <cp:lastPrinted>2020-10-28T07:27:00Z</cp:lastPrinted>
  <dcterms:created xsi:type="dcterms:W3CDTF">2020-10-27T02:42:00Z</dcterms:created>
  <dcterms:modified xsi:type="dcterms:W3CDTF">2020-10-28T07:30:00Z</dcterms:modified>
</cp:coreProperties>
</file>