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C1" w:rsidRPr="001E43C1" w:rsidRDefault="001E43C1" w:rsidP="006E5F6B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3C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1E43C1" w:rsidRPr="001E43C1" w:rsidRDefault="001E43C1" w:rsidP="006E5F6B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3C1">
        <w:rPr>
          <w:rFonts w:ascii="Times New Roman" w:eastAsia="Times New Roman" w:hAnsi="Times New Roman" w:cs="Times New Roman"/>
          <w:sz w:val="24"/>
          <w:szCs w:val="24"/>
        </w:rPr>
        <w:t>к решению Тындинской городской Думы</w:t>
      </w:r>
    </w:p>
    <w:p w:rsidR="001E43C1" w:rsidRPr="001E43C1" w:rsidRDefault="006E5F6B" w:rsidP="006E5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1E43C1" w:rsidRPr="001E43C1">
        <w:rPr>
          <w:rFonts w:ascii="Times New Roman" w:eastAsia="Times New Roman" w:hAnsi="Times New Roman" w:cs="Times New Roman"/>
          <w:sz w:val="24"/>
          <w:szCs w:val="24"/>
        </w:rPr>
        <w:t>от «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1E43C1" w:rsidRPr="001E43C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декабря </w:t>
      </w:r>
      <w:r w:rsidR="001E43C1" w:rsidRPr="001E43C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1E43C1" w:rsidRPr="001E43C1"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</w:rPr>
        <w:t>308</w:t>
      </w:r>
      <w:r w:rsidR="001E43C1" w:rsidRPr="001E43C1">
        <w:rPr>
          <w:rFonts w:ascii="Times New Roman" w:eastAsia="Times New Roman" w:hAnsi="Times New Roman" w:cs="Times New Roman"/>
          <w:sz w:val="24"/>
          <w:szCs w:val="24"/>
        </w:rPr>
        <w:t>-Р-ТГД-</w:t>
      </w:r>
      <w:r w:rsidR="001E43C1" w:rsidRPr="001E43C1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1E43C1" w:rsidRPr="001E43C1" w:rsidRDefault="001E43C1" w:rsidP="001E43C1">
      <w:pPr>
        <w:spacing w:before="3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32"/>
          <w:szCs w:val="28"/>
        </w:rPr>
        <w:t>ОТЧЕТ</w:t>
      </w:r>
    </w:p>
    <w:p w:rsidR="001E43C1" w:rsidRPr="001E43C1" w:rsidRDefault="001E43C1" w:rsidP="001E43C1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о деятельности Тындинской городской Думы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за 2019год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Тындинская городская Дума</w:t>
      </w:r>
      <w:r w:rsidR="00066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седьмого созыва осуществляла свою деятельность в 2019 году на основании Устава города Тынды, в соответствии с Регламентом Тындинской городской Думы, Положением о постоянных комиссиях Тындинской городской Думы и планом работы, утвержденным</w:t>
      </w:r>
      <w:r w:rsidR="00066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="00066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Думы от 16.02.2019 №85-Р-ТГД-</w:t>
      </w:r>
      <w:r w:rsidRPr="001E43C1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«О плане работы Тындинской городской Думы седьмого созыва на 2019 год».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Установленное число депутатов Тындинской городской Думы – 20 человек, количество избранных – 20 депутатов, на начало 2019 года Тындинская городская Дума седьмого созыва (далее – Дума) состояла из 20 депутатов. В соответствии с решением Думы от 03.06.2019 №134-Р-ТГД-</w:t>
      </w:r>
      <w:r w:rsidRPr="001E43C1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«О досрочном прекращении полномочий депутата Тындинской городской Думы седьмого созыва Якимченко Светланы Николаевны» на конец отчетного периода в составе Думы осталось </w:t>
      </w:r>
      <w:bookmarkStart w:id="0" w:name="_GoBack"/>
      <w:bookmarkEnd w:id="0"/>
      <w:r w:rsidRPr="001E43C1">
        <w:rPr>
          <w:rFonts w:ascii="Times New Roman" w:eastAsia="Times New Roman" w:hAnsi="Times New Roman" w:cs="Times New Roman"/>
          <w:sz w:val="28"/>
          <w:szCs w:val="28"/>
        </w:rPr>
        <w:t>19 депутатов.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соответствии с решением Думы от 20.09.2018 №3-Р-ТГД-</w:t>
      </w:r>
      <w:r w:rsidRPr="001E43C1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«Об избрании Председателя Тындинской городской Думы седьмого созыва» организацию деятельности Тындинской городской Думы осуществляет Председатель – Магарламов Игорь Юрьевич.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2019 году депутаты осуществляли свою деятельность, в том числе, в составе</w:t>
      </w:r>
      <w:r w:rsidR="00066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утвержденных постоянных комиссий: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по регламенту, депутатской этике и вопросам местного самоуправления (председатель – Скороходова О.А.);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по бюджетно-налоговой политике и финансовым ресурса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председатель: </w:t>
      </w:r>
      <w:r w:rsidRPr="001E43C1">
        <w:rPr>
          <w:rFonts w:ascii="Times New Roman" w:eastAsia="Times New Roman" w:hAnsi="Times New Roman" w:cs="Times New Roman"/>
          <w:sz w:val="24"/>
          <w:szCs w:val="28"/>
        </w:rPr>
        <w:t>с 09.10.2018 по 03.06.2019 г. – Якимченко С.Н., а с 27.06.2019 г.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– Трещук А.В.);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по социальным вопросам и защите прав граждан (председатель – Григорьева В.В.);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по градостроительству,</w:t>
      </w:r>
      <w:r w:rsidR="00066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городскому хозяйству, жилищной политике и экологии (председатель – Кирюхин К.Ж.);</w:t>
      </w:r>
    </w:p>
    <w:p w:rsidR="001E43C1" w:rsidRPr="001E43C1" w:rsidRDefault="001E43C1" w:rsidP="001E43C1">
      <w:pPr>
        <w:widowControl w:val="0"/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по экономической политике и муниципальной собственности (председатель – Пляскин Ю.Ю.).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Состав постоянных комиссий в отчетном периоде корректировался два раза.</w:t>
      </w:r>
    </w:p>
    <w:p w:rsidR="001E43C1" w:rsidRPr="001E43C1" w:rsidRDefault="001E43C1" w:rsidP="001E43C1">
      <w:pPr>
        <w:keepNext/>
        <w:keepLines/>
        <w:suppressAutoHyphens/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1. Нормотворческая деятельность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Cs/>
          <w:color w:val="000000"/>
          <w:sz w:val="28"/>
        </w:rPr>
        <w:t>В 2019 году была продолжена работа по развитию и совершенствованию нормативной правовой базы города Тынды, приведению ее в соответствие с действующим законодательством.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Основной организационной формой нормотворческой деятельности Думы являются заседания, на которых рассматриваются вопросы, отнесенные к полномочиям</w:t>
      </w:r>
      <w:r w:rsidR="00066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Думы и которые проводятся не реже одного раза в три месяца.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отчетном году проведено 14заседаний Думы, из которых 8 –внеочередные. На заседаниях Думы, как правило, присутствовали Мэр города Тынды, представители Тындинской городской прокуратуры и Контрольно-счетной палаты города Тынды.</w:t>
      </w:r>
      <w:r w:rsidR="00066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Заседания Думы проходили открыто, с приглашением средств массовой информации, руководителей отраслевых (функциональных) органов Администрации города Тынды, с участием представителей</w:t>
      </w:r>
      <w:r w:rsidR="00066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учреждений и организаций, жителей города.</w:t>
      </w:r>
    </w:p>
    <w:p w:rsid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Информация о посещаемости депутатами заседаний Тындинской городской Думы представлена в Таблице 1.</w:t>
      </w:r>
    </w:p>
    <w:p w:rsidR="00066F1D" w:rsidRPr="001E43C1" w:rsidRDefault="00066F1D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43C1" w:rsidRPr="001E43C1" w:rsidRDefault="001E43C1" w:rsidP="001E4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:rsidR="001E43C1" w:rsidRPr="001E43C1" w:rsidRDefault="001E43C1" w:rsidP="001E43C1">
      <w:pPr>
        <w:widowControl w:val="0"/>
        <w:spacing w:after="60" w:line="240" w:lineRule="auto"/>
        <w:ind w:left="-113" w:right="-1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Посещение депутатами заседаний Тындинской городской Думы в 2019 г.</w:t>
      </w:r>
    </w:p>
    <w:tbl>
      <w:tblPr>
        <w:tblStyle w:val="a4"/>
        <w:tblW w:w="94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2"/>
        <w:gridCol w:w="5812"/>
        <w:gridCol w:w="1418"/>
        <w:gridCol w:w="1701"/>
      </w:tblGrid>
      <w:tr w:rsidR="001E43C1" w:rsidRPr="001E43C1" w:rsidTr="00F41E86">
        <w:trPr>
          <w:trHeight w:val="669"/>
        </w:trPr>
        <w:tc>
          <w:tcPr>
            <w:tcW w:w="562" w:type="dxa"/>
            <w:vAlign w:val="center"/>
          </w:tcPr>
          <w:p w:rsidR="001E43C1" w:rsidRPr="001E43C1" w:rsidRDefault="001E43C1" w:rsidP="001E43C1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1E43C1">
              <w:rPr>
                <w:b/>
                <w:sz w:val="26"/>
                <w:szCs w:val="26"/>
              </w:rPr>
              <w:t>№</w:t>
            </w:r>
          </w:p>
          <w:p w:rsidR="001E43C1" w:rsidRPr="001E43C1" w:rsidRDefault="001E43C1" w:rsidP="001E43C1">
            <w:pPr>
              <w:widowControl w:val="0"/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1E43C1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1E43C1">
              <w:rPr>
                <w:b/>
                <w:sz w:val="26"/>
                <w:szCs w:val="26"/>
              </w:rPr>
              <w:t>/</w:t>
            </w:r>
            <w:proofErr w:type="spellStart"/>
            <w:r w:rsidRPr="001E43C1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812" w:type="dxa"/>
            <w:vAlign w:val="center"/>
          </w:tcPr>
          <w:p w:rsidR="001E43C1" w:rsidRPr="001E43C1" w:rsidRDefault="001E43C1" w:rsidP="001E43C1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1E43C1">
              <w:rPr>
                <w:b/>
                <w:sz w:val="26"/>
                <w:szCs w:val="26"/>
              </w:rPr>
              <w:t>ФИО депутата</w:t>
            </w:r>
          </w:p>
        </w:tc>
        <w:tc>
          <w:tcPr>
            <w:tcW w:w="1418" w:type="dxa"/>
            <w:vAlign w:val="center"/>
          </w:tcPr>
          <w:p w:rsidR="001E43C1" w:rsidRPr="001E43C1" w:rsidRDefault="001E43C1" w:rsidP="001E43C1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1E43C1">
              <w:rPr>
                <w:b/>
                <w:sz w:val="26"/>
                <w:szCs w:val="26"/>
              </w:rPr>
              <w:t>количество посещений</w:t>
            </w:r>
          </w:p>
        </w:tc>
        <w:tc>
          <w:tcPr>
            <w:tcW w:w="1701" w:type="dxa"/>
            <w:vAlign w:val="center"/>
          </w:tcPr>
          <w:p w:rsidR="001E43C1" w:rsidRPr="001E43C1" w:rsidRDefault="001E43C1" w:rsidP="001E43C1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1E43C1">
              <w:rPr>
                <w:b/>
                <w:sz w:val="26"/>
                <w:szCs w:val="26"/>
              </w:rPr>
              <w:t>процентное соотношение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Буйвал Андрей Николаевич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92,86%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Гаетбаев</w:t>
            </w:r>
            <w:r w:rsidR="00BF448B">
              <w:rPr>
                <w:sz w:val="26"/>
                <w:szCs w:val="26"/>
              </w:rPr>
              <w:t xml:space="preserve"> </w:t>
            </w:r>
            <w:r w:rsidRPr="001E43C1">
              <w:rPr>
                <w:sz w:val="26"/>
                <w:szCs w:val="26"/>
              </w:rPr>
              <w:t>Азамат Маратович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71,43%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3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Григорьева Вера Владимировна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92,86%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4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Евтушенко Сергей Андреевич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50,00%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5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Елистратов Виталий Сергеевич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78,57%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6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Иванова Елена Ивановна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78,57%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7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Кирюхин Константин Жанович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78,57%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8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Козлов Андрей Николаевич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57,14%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9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Лаштанов Сергей Александрович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85,71%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10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Лобода Павел Михайлович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100,00%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11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Магарламов Игорь Юрьевич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100,00%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12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Мишин Михаил Владимирович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92,86%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13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Пляскин Юрий Юрьевич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78,57%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14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Путинцев Александр Александрович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28,57%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15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Скороходова Оксана Александровна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85,71%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16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Трещук Андрей Васильевич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71,43%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17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Черенков Евгений Петрович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42,86%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18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Шаталов Юрий Иванович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92,86%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19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Юров Евгений Геннадьевич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57,14%</w:t>
            </w:r>
          </w:p>
        </w:tc>
      </w:tr>
      <w:tr w:rsidR="001E43C1" w:rsidRPr="001E43C1" w:rsidTr="00F41E86">
        <w:tc>
          <w:tcPr>
            <w:tcW w:w="562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20</w:t>
            </w:r>
          </w:p>
        </w:tc>
        <w:tc>
          <w:tcPr>
            <w:tcW w:w="5812" w:type="dxa"/>
          </w:tcPr>
          <w:p w:rsidR="001E43C1" w:rsidRPr="001E43C1" w:rsidRDefault="001E43C1" w:rsidP="001E43C1">
            <w:pPr>
              <w:spacing w:before="30" w:after="30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Якимченко Светлана Николаевна (до 03.06.2019 г.)</w:t>
            </w:r>
          </w:p>
        </w:tc>
        <w:tc>
          <w:tcPr>
            <w:tcW w:w="1418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1E43C1" w:rsidRPr="001E43C1" w:rsidRDefault="001E43C1" w:rsidP="001E43C1">
            <w:pPr>
              <w:widowControl w:val="0"/>
              <w:jc w:val="center"/>
              <w:rPr>
                <w:sz w:val="26"/>
                <w:szCs w:val="26"/>
              </w:rPr>
            </w:pPr>
            <w:r w:rsidRPr="001E43C1">
              <w:rPr>
                <w:sz w:val="26"/>
                <w:szCs w:val="26"/>
              </w:rPr>
              <w:t>87,50%</w:t>
            </w:r>
          </w:p>
        </w:tc>
      </w:tr>
    </w:tbl>
    <w:p w:rsidR="00BF448B" w:rsidRDefault="00BF448B" w:rsidP="001E43C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43C1" w:rsidRPr="001E43C1" w:rsidRDefault="001E43C1" w:rsidP="001E43C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lastRenderedPageBreak/>
        <w:t>На заседаниях Думы рассмотрено 156вопросов, принято 148решений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,и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з которых11новых нормативных правовых актов</w:t>
      </w:r>
      <w:r w:rsidR="00BF4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 27изменений в ранее принятые нормативные правовые акты.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К новым нормативным правовым актам, обязательным для исполнения на территории города Тынды относятся: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добровольных пожертвованиях в пользу муниципального образования города Тынды»;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порядке освобождения от должности (досрочного прекращения полномочий) лиц, замещающих муниципальные должности, в связи с утратой доверия»;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местных нормативах градостроительного проектирования города Тынды»;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- «О нормативном правовом акте города Тынды «О некоторых вопросах, связанных с совершенствованием организации системы муниципального управления и обеспечения 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исполнения полномочий</w:t>
      </w:r>
      <w:r w:rsidR="00BF4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Администрации города Тынды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по решению вопросов местного значения»;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бюджетном процессе в городе Тынде»;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замене дотации (части дотации) на выравнивание бюджетной обеспеченности дополнительным нормативом отчислений от налога на доходы физических лиц на 2020 год и плановой период 2021 и 2022 годов»;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порядке организации и осуществления мероприятий по мобилизационной подготовке муниципальных предприятий и учреждений города Тынды»;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«Прогнозный план приватизации муниципального имущества города Тынды на 2020 год»;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городском бюджете на 2020 год и плановый период 2021 и 2022 годов»;</w:t>
      </w:r>
    </w:p>
    <w:p w:rsidR="001E43C1" w:rsidRPr="001E43C1" w:rsidRDefault="001E43C1" w:rsidP="001E43C1">
      <w:pPr>
        <w:spacing w:after="6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Стратегии социально-экономического развития муниципального образования города Тынды на период до 2030 года».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ряд действующих нормативных правовых актов были внесены изменения: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внесении изменений в нормативный правовой акт города Тынды от 27.06.2014№22-НПА «О порядке управления и распоряжения муниципальным жилищным фондом города», принятый решением Тындинской городской думы от 27.06.2014 №142-Р-ТГД-VI»;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внесении изменений в нормативный правовой акт города Тынды от 14.12.2017№45-НПА «Об установлении размеров</w:t>
      </w:r>
      <w:r w:rsidR="00BF4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 условий</w:t>
      </w:r>
      <w:r w:rsidR="00BF4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основе»,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lastRenderedPageBreak/>
        <w:t>принятый решением Тындинской городской Думы от 14.12.2017№671-Р-ТГД-VI»;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внесении изменений в Положение «О порядке управления и распоряжения имуществом, находящимся в муниципальной собственности города Тынды», утвержденное решением Тындинской городской Думы от 24.05.2011 №288»;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внесении изменений в нормативный правовой акт города Тынды от 13.03.2014№3-НПА «Регламент Тындинской городской Думы», принятый решением Тындинской городской Думы от 13.03.2014 №82-Р-ТГД-VI»;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О</w:t>
      </w:r>
      <w:r w:rsidR="00BF4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нормативном</w:t>
      </w:r>
      <w:r w:rsidR="00BF4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правовом</w:t>
      </w:r>
      <w:r w:rsidR="00BF4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акте</w:t>
      </w:r>
      <w:r w:rsidR="00BF4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BF4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Тынды</w:t>
      </w:r>
      <w:r w:rsidR="00670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«О внесении изменений в отдельные нормативные правовые акты города Тынды, регулирующие вопросы в сфере бюджетных отношений»;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правовом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акте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Тынды «О внесении изменений в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нормативный правовой акт городаТындыот30.03.2019№10-НПА «О добровольных пожертвованиях в пользу муниципального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образования города Тынды», принятый решением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Тындинской городской Думы от 30.03.2019№102-Р-ТГД-VII»;</w:t>
      </w:r>
    </w:p>
    <w:p w:rsidR="001E43C1" w:rsidRPr="001E43C1" w:rsidRDefault="001E43C1" w:rsidP="001E43C1">
      <w:pPr>
        <w:spacing w:after="0" w:line="240" w:lineRule="auto"/>
        <w:ind w:left="568" w:right="-57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внесении изменений в Положение «О земельном налоге на территории города Тынды», утвержденное решением Тындинской городской Думу от 17.05.2012 № 481»;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7" w:history="1">
        <w:r w:rsidRPr="001E43C1">
          <w:rPr>
            <w:rFonts w:ascii="Times New Roman" w:eastAsia="Times New Roman" w:hAnsi="Times New Roman" w:cs="Times New Roman"/>
            <w:sz w:val="28"/>
          </w:rPr>
          <w:t>«О нормативном правовом акте города Тынды «О внесении изменений в нормативный правовой акт города Тынды от 20.11.2014 №36-НПА «О налоге на имущество физических лиц», принятый решением Тындинской городской Думы от 20.11.2014№192-Р-ТГД-VI»</w:t>
        </w:r>
      </w:hyperlink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внесении изменений и дополнений в Устав города Тынды»;</w:t>
      </w:r>
    </w:p>
    <w:p w:rsidR="001E43C1" w:rsidRPr="001E43C1" w:rsidRDefault="001E43C1" w:rsidP="001E43C1">
      <w:pPr>
        <w:widowControl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связи с изменениями федерального и регионального законодательства были внесены изменения и дополнения в Устав города Тынды, а именно: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внесены изменения в статьи 1, 9, 10, 11, 14, 15, 19, 20, 23, 24, 29, 31-34, 38-41,45-47, 49, 50, 52, 55-60 ,62, 64, 67-70, 73, 74, 76, 79, 81-84, 96, 98, 102, 103, 110, 120, 120.1, 128, 137, 138, 139;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изложены в новой редакции статьи 2, 4, 17;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исключена статья 104;</w:t>
      </w:r>
    </w:p>
    <w:p w:rsidR="001E43C1" w:rsidRPr="001E43C1" w:rsidRDefault="001E43C1" w:rsidP="001E43C1">
      <w:pPr>
        <w:widowControl w:val="0"/>
        <w:spacing w:after="6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дополнены новые статьи – 26.1, 26.2, 41.1, 82.1, 84.1, 84.2, 97.1, 100.1.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Классификация решений по областям правового регулирования представлена в таблице №2.</w:t>
      </w:r>
    </w:p>
    <w:p w:rsidR="00F41E86" w:rsidRDefault="00F41E86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E86" w:rsidRDefault="00F41E86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E86" w:rsidRDefault="00F41E86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E86" w:rsidRDefault="00F41E86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E86" w:rsidRDefault="00F41E86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E86" w:rsidRDefault="00F41E86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E86" w:rsidRDefault="00F41E86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E86" w:rsidRDefault="00F41E86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E86" w:rsidRDefault="00F41E86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43C1" w:rsidRPr="001E43C1" w:rsidRDefault="001E43C1" w:rsidP="001E43C1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Таблица 2</w:t>
      </w:r>
    </w:p>
    <w:p w:rsidR="001E43C1" w:rsidRPr="001E43C1" w:rsidRDefault="001E43C1" w:rsidP="001E43C1">
      <w:pPr>
        <w:tabs>
          <w:tab w:val="left" w:pos="3885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Классификация решений по областям правового регулирования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1"/>
        <w:gridCol w:w="6847"/>
        <w:gridCol w:w="1852"/>
      </w:tblGrid>
      <w:tr w:rsidR="001E43C1" w:rsidRPr="001E43C1" w:rsidTr="00F41E86">
        <w:trPr>
          <w:trHeight w:val="677"/>
        </w:trPr>
        <w:tc>
          <w:tcPr>
            <w:tcW w:w="661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47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Область правового регулирования</w:t>
            </w:r>
          </w:p>
        </w:tc>
        <w:tc>
          <w:tcPr>
            <w:tcW w:w="1852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r w:rsidR="00F41E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решений</w:t>
            </w:r>
          </w:p>
        </w:tc>
      </w:tr>
      <w:tr w:rsidR="001E43C1" w:rsidRPr="001E43C1" w:rsidTr="00F41E86">
        <w:trPr>
          <w:trHeight w:val="157"/>
        </w:trPr>
        <w:tc>
          <w:tcPr>
            <w:tcW w:w="661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47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Бюджет, налоги, финансы и экономика</w:t>
            </w:r>
          </w:p>
        </w:tc>
        <w:tc>
          <w:tcPr>
            <w:tcW w:w="1852" w:type="dxa"/>
            <w:vAlign w:val="center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1E43C1" w:rsidRPr="001E43C1" w:rsidTr="00F41E86">
        <w:trPr>
          <w:trHeight w:val="60"/>
        </w:trPr>
        <w:tc>
          <w:tcPr>
            <w:tcW w:w="661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47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собственность</w:t>
            </w:r>
          </w:p>
        </w:tc>
        <w:tc>
          <w:tcPr>
            <w:tcW w:w="1852" w:type="dxa"/>
            <w:vAlign w:val="center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1E43C1" w:rsidRPr="001E43C1" w:rsidTr="00F41E86">
        <w:trPr>
          <w:trHeight w:val="68"/>
        </w:trPr>
        <w:tc>
          <w:tcPr>
            <w:tcW w:w="661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47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Земельные вопросы и градостроительство</w:t>
            </w:r>
          </w:p>
        </w:tc>
        <w:tc>
          <w:tcPr>
            <w:tcW w:w="1852" w:type="dxa"/>
            <w:vAlign w:val="center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43C1" w:rsidRPr="001E43C1" w:rsidTr="00F41E86">
        <w:trPr>
          <w:trHeight w:val="313"/>
        </w:trPr>
        <w:tc>
          <w:tcPr>
            <w:tcW w:w="661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47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хозяйство, транспорт, связь, энергетика и экология</w:t>
            </w:r>
          </w:p>
        </w:tc>
        <w:tc>
          <w:tcPr>
            <w:tcW w:w="1852" w:type="dxa"/>
            <w:vAlign w:val="center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43C1" w:rsidRPr="001E43C1" w:rsidTr="00F41E86">
        <w:trPr>
          <w:trHeight w:val="60"/>
        </w:trPr>
        <w:tc>
          <w:tcPr>
            <w:tcW w:w="661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47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852" w:type="dxa"/>
            <w:vAlign w:val="center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E43C1" w:rsidRPr="001E43C1" w:rsidTr="00F41E86">
        <w:trPr>
          <w:trHeight w:val="60"/>
        </w:trPr>
        <w:tc>
          <w:tcPr>
            <w:tcW w:w="661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47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Местное самоуправление, законность и правопорядок</w:t>
            </w:r>
          </w:p>
        </w:tc>
        <w:tc>
          <w:tcPr>
            <w:tcW w:w="1852" w:type="dxa"/>
            <w:vAlign w:val="center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1E43C1" w:rsidRPr="001E43C1" w:rsidTr="00F41E86">
        <w:trPr>
          <w:trHeight w:val="53"/>
        </w:trPr>
        <w:tc>
          <w:tcPr>
            <w:tcW w:w="661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47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Иные</w:t>
            </w:r>
          </w:p>
        </w:tc>
        <w:tc>
          <w:tcPr>
            <w:tcW w:w="1852" w:type="dxa"/>
            <w:vAlign w:val="center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E43C1" w:rsidRPr="001E43C1" w:rsidTr="00F41E86">
        <w:trPr>
          <w:trHeight w:val="60"/>
        </w:trPr>
        <w:tc>
          <w:tcPr>
            <w:tcW w:w="661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47" w:type="dxa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Align w:val="center"/>
          </w:tcPr>
          <w:p w:rsidR="001E43C1" w:rsidRPr="001E43C1" w:rsidRDefault="001E43C1" w:rsidP="001E43C1">
            <w:pPr>
              <w:tabs>
                <w:tab w:val="left" w:pos="14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148</w:t>
            </w:r>
          </w:p>
        </w:tc>
      </w:tr>
    </w:tbl>
    <w:p w:rsidR="00F41E86" w:rsidRDefault="00F41E86" w:rsidP="001E43C1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43C1" w:rsidRPr="001E43C1" w:rsidRDefault="001E43C1" w:rsidP="001E43C1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Проекты решений Думы в 2019 году вносились субъектами права нормотворческой инициативы: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постоянными комиссиями Думы, Мэром и Администрацией города Тынды,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Контрольно-счетной палатой города Тынды,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депутатами</w:t>
      </w:r>
      <w:r w:rsidR="00F41E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(таблица 3).</w:t>
      </w:r>
    </w:p>
    <w:p w:rsidR="00F41E86" w:rsidRDefault="00F41E86" w:rsidP="001E4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E86" w:rsidRDefault="00F41E86" w:rsidP="001E4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43C1" w:rsidRPr="001E43C1" w:rsidRDefault="001E43C1" w:rsidP="001E4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Таблица 3</w:t>
      </w:r>
    </w:p>
    <w:p w:rsidR="001E43C1" w:rsidRPr="001E43C1" w:rsidRDefault="001E43C1" w:rsidP="001E43C1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Субъекты</w:t>
      </w:r>
      <w:r w:rsidR="00F41E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права</w:t>
      </w:r>
      <w:r w:rsidR="00F41E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нормотворческой</w:t>
      </w:r>
      <w:r w:rsidR="00F41E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инициативы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7792"/>
        <w:gridCol w:w="1694"/>
      </w:tblGrid>
      <w:tr w:rsidR="001E43C1" w:rsidRPr="001E43C1" w:rsidTr="00F41E86">
        <w:trPr>
          <w:trHeight w:val="977"/>
        </w:trPr>
        <w:tc>
          <w:tcPr>
            <w:tcW w:w="7792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Субъект права нормотворческой инициативы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внесенных проектов</w:t>
            </w:r>
          </w:p>
        </w:tc>
      </w:tr>
      <w:tr w:rsidR="001E43C1" w:rsidRPr="001E43C1" w:rsidTr="00F41E86">
        <w:trPr>
          <w:trHeight w:val="613"/>
        </w:trPr>
        <w:tc>
          <w:tcPr>
            <w:tcW w:w="7792" w:type="dxa"/>
          </w:tcPr>
          <w:p w:rsidR="001E43C1" w:rsidRPr="001E43C1" w:rsidRDefault="001E43C1" w:rsidP="001E43C1">
            <w:pPr>
              <w:widowControl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 регламенту, депутатской этике и вопросам местного самоуправления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E43C1" w:rsidRPr="001E43C1" w:rsidTr="00F41E86">
        <w:trPr>
          <w:trHeight w:val="636"/>
        </w:trPr>
        <w:tc>
          <w:tcPr>
            <w:tcW w:w="7792" w:type="dxa"/>
          </w:tcPr>
          <w:p w:rsidR="001E43C1" w:rsidRPr="001E43C1" w:rsidRDefault="001E43C1" w:rsidP="001E43C1">
            <w:pPr>
              <w:widowControl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 бюджетно-налоговой политике и финансовым ресурсам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43C1" w:rsidRPr="001E43C1" w:rsidTr="00F41E86">
        <w:trPr>
          <w:trHeight w:val="546"/>
        </w:trPr>
        <w:tc>
          <w:tcPr>
            <w:tcW w:w="7792" w:type="dxa"/>
          </w:tcPr>
          <w:p w:rsidR="001E43C1" w:rsidRPr="001E43C1" w:rsidRDefault="001E43C1" w:rsidP="001E43C1">
            <w:pPr>
              <w:widowControl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 социальным вопросам и защите прав граждан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E43C1" w:rsidRPr="001E43C1" w:rsidTr="00F41E86">
        <w:trPr>
          <w:trHeight w:val="245"/>
        </w:trPr>
        <w:tc>
          <w:tcPr>
            <w:tcW w:w="7792" w:type="dxa"/>
          </w:tcPr>
          <w:p w:rsidR="001E43C1" w:rsidRPr="001E43C1" w:rsidRDefault="001E43C1" w:rsidP="001E43C1">
            <w:pPr>
              <w:widowControl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Постоянная </w:t>
            </w:r>
            <w:proofErr w:type="spellStart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комиссияпо</w:t>
            </w:r>
            <w:proofErr w:type="spellEnd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градостроительству</w:t>
            </w:r>
            <w:proofErr w:type="gramStart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,г</w:t>
            </w:r>
            <w:proofErr w:type="gramEnd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ородскому</w:t>
            </w:r>
            <w:proofErr w:type="spellEnd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хозяйству, жилищной политике и экологии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43C1" w:rsidRPr="001E43C1" w:rsidTr="00F41E86">
        <w:trPr>
          <w:trHeight w:val="85"/>
        </w:trPr>
        <w:tc>
          <w:tcPr>
            <w:tcW w:w="7792" w:type="dxa"/>
          </w:tcPr>
          <w:p w:rsidR="001E43C1" w:rsidRPr="001E43C1" w:rsidRDefault="001E43C1" w:rsidP="001E43C1">
            <w:pPr>
              <w:widowControl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</w:t>
            </w:r>
            <w:proofErr w:type="gramEnd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комиссияпо</w:t>
            </w:r>
            <w:proofErr w:type="spellEnd"/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экономической политике и муниципальной собственности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3C1" w:rsidRPr="001E43C1" w:rsidTr="00F41E86">
        <w:trPr>
          <w:trHeight w:val="211"/>
        </w:trPr>
        <w:tc>
          <w:tcPr>
            <w:tcW w:w="7792" w:type="dxa"/>
          </w:tcPr>
          <w:p w:rsidR="001E43C1" w:rsidRPr="001E43C1" w:rsidRDefault="001E43C1" w:rsidP="001E43C1">
            <w:pPr>
              <w:widowControl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Мэр города Тынды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3C1" w:rsidRPr="001E43C1" w:rsidTr="00F41E86">
        <w:trPr>
          <w:trHeight w:val="159"/>
        </w:trPr>
        <w:tc>
          <w:tcPr>
            <w:tcW w:w="7792" w:type="dxa"/>
          </w:tcPr>
          <w:p w:rsidR="001E43C1" w:rsidRPr="001E43C1" w:rsidRDefault="001E43C1" w:rsidP="001E43C1">
            <w:pPr>
              <w:widowControl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города Тынды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1E43C1" w:rsidRPr="001E43C1" w:rsidTr="00F41E86">
        <w:trPr>
          <w:trHeight w:val="263"/>
        </w:trPr>
        <w:tc>
          <w:tcPr>
            <w:tcW w:w="7792" w:type="dxa"/>
          </w:tcPr>
          <w:p w:rsidR="001E43C1" w:rsidRPr="001E43C1" w:rsidRDefault="001E43C1" w:rsidP="001E43C1">
            <w:pPr>
              <w:widowControl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Контрольно-счетная палата города Тынды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43C1" w:rsidRPr="001E43C1" w:rsidTr="00F41E86">
        <w:trPr>
          <w:trHeight w:val="353"/>
        </w:trPr>
        <w:tc>
          <w:tcPr>
            <w:tcW w:w="7792" w:type="dxa"/>
          </w:tcPr>
          <w:p w:rsidR="001E43C1" w:rsidRPr="001E43C1" w:rsidRDefault="001E43C1" w:rsidP="001E43C1">
            <w:pPr>
              <w:widowControl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Думы</w:t>
            </w:r>
          </w:p>
        </w:tc>
        <w:tc>
          <w:tcPr>
            <w:tcW w:w="1694" w:type="dxa"/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</w:tr>
    </w:tbl>
    <w:p w:rsidR="001E43C1" w:rsidRPr="001E43C1" w:rsidRDefault="001E43C1" w:rsidP="001E43C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Суммарно в 2019 году из внесенных проектов в повестку заседаний Думы было включено 163 проектов, 5 проектов остались без рассмотрения по следующим основаниям: отзывались субъектами права нормотворческой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инициативы, отправлялись на доработку.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исключительной компетенции Думы находятся вопросы утверждения городского бюджета и отчета о его исполнении.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 «О бюджетном процессе в городе Тынде» Думой был рассмотрен вопрос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об исполнении городского бюджета за 2018 год и своевременно принято решение «О нормативном правовом акте города Тынды «О городском бюджете на 2020 год и плановый период 2021 и 2022 годов».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целях совершенствования бюджетного процесса, Думой приняты решения по вопросам: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бюджетном процессе в городе Тынде»;</w:t>
      </w:r>
    </w:p>
    <w:p w:rsidR="001E43C1" w:rsidRPr="001E43C1" w:rsidRDefault="001E43C1" w:rsidP="001E43C1">
      <w:pPr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замене дотации (части дотации) на выравнивание бюджетной обеспеченности дополнительным нормативом отчислений от налога на доходы физических лиц на 2020 год и плановой период 2021 и 2022 годов».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целях регулирования правоотношений в сфере местных налогов и сборов Думой приняты нормативные правовые акты:</w:t>
      </w:r>
    </w:p>
    <w:p w:rsidR="001E43C1" w:rsidRPr="001E43C1" w:rsidRDefault="001E43C1" w:rsidP="001E43C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- «О внесении изменений в Положение «О земельном налоге на территории города Тынды», утвержденное решением Тындинской городской Думу от 17.05.2012 № 481»;</w:t>
      </w:r>
      <w:proofErr w:type="gramEnd"/>
    </w:p>
    <w:p w:rsidR="001E43C1" w:rsidRPr="001E43C1" w:rsidRDefault="001E43C1" w:rsidP="001E43C1">
      <w:pPr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внесении изменений в нормативный правовой акт города Тынды от 20.11.2014 №36-НПА «О налоге на имущество физических лиц», принятый решением Тындинской городской Думы от 20.11.2014 №192-Р-ТГД-VI».</w:t>
      </w:r>
    </w:p>
    <w:p w:rsidR="001E43C1" w:rsidRPr="001E43C1" w:rsidRDefault="001E43C1" w:rsidP="001E43C1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По-прежнему актуальными были вопросы по управлению и распоряжению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собственностью.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Трижды в течение 2019 года вносились изменения в Положение «О порядке управления и распоряжения имуществом, находящимся в муниципальной собственности г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ынды». На заседаниях Думы заслушивалась информация о ведении Реестра муниципального имущества города, о прогнозном плане приватизации на 2020 год.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В соответствии с действующим законодательством приняты решения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о безвозмездной передаче имущества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из собственности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города Тынды в собственность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Амурской области,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из федеральной собственности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в собственность муниципального образования города Тынды.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В 2019 году принимались решения и по вопросам 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организации деятельности органов местного самоуправления города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lastRenderedPageBreak/>
        <w:t>- «О внесении изменений в решение Тындинской городской Думы от 09.10.2018 №14-Р-ТГД-VII «О структуре Администрации города Тынды»;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- «О 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>внесении и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зменений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в решение Тындинской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городской Думы от 09.10.2018 №6-Р-ТГД-</w:t>
      </w:r>
      <w:r w:rsidRPr="001E43C1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постоянных комиссии Тындинской городской Думы седьмого созыва»;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внесении изменений в Положение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«О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постоянных комиссиях Тындинской городской Думы седьмого созыва», утвержденное решением Тындинской городской Думы от 09.10.2018 №5-Р-ТГД-VII»;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«Об утверждении положения об Управлении молодежной и семейной политики, физической культуры и спорта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Администрации города Тынды»;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правовом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акте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Тынды «О добровольных пожертвованиях в пользу муниципального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города Тынды»;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комиссии по 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контролю за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соблюдением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депутатами Тындинской городской Думы ограничений, запретов и исполнением обязанностей, возложенных на них законодательством в сфере противодействия коррупции»;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«Об утверждении Порядка направления в Благовещенскую межрайонную природоохранную прокуратуру проектов нормативных актов, регулирующих правоотношения в сфере охраны окружающей среды и природопользования»;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нормативном правовом акте города Тынды «О местных нормативах градостроительного проектирования города Тынды</w:t>
      </w:r>
      <w:r w:rsidRPr="001E43C1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1E43C1" w:rsidRPr="001E43C1" w:rsidRDefault="001E43C1" w:rsidP="001E43C1">
      <w:pPr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плане работы Тындинской городской Думы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седьмого созыва на 2020 год».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2019 году Дума поддержала законодательную инициативу</w:t>
      </w:r>
      <w:r w:rsidR="00A00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Свободненского городского Совета народных депутатов Амурской области о внесении изменений в Федеральный закон «О страховых пенсиях».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Положением «О муниципальных наградах города Тынды» и на основании обращений трудовых коллективов о награждении в связи с юбилейными датами и профессиональными праздниками решениями Думы в 2019году награждены 51 человек, в том числе: 3– знаком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отличия «За заслуги перед городом Тындой», 15 – Почетными грамотами Тындинской городской Думы, 33– Благодарственными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письмами.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Фотографии 24 горожан занесены на городскую Доску почета. По ходатайству Думы 4жителя города награждены Почетными грамотами Законодательного Собрания Амурской области. Звание «Почетный гражданин города Тынды» в 2019 году присвоено Горючкиной Ларисе Дмитриевне – ведущему инженеру производственно-технического отдел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а ООО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«Мостоотряд -43».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целях осуществления контроля законности принимаемых Думой правовых актов, осуществлялось взаимодействие Думы с Тындинской городской прокуратурой. Все проекты решений, выносимые на заседания Думы, направлялись в городскую прокуратуру.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За отчетный период в адрес Думы прокуратурой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было внесено 12 замечаний на проекты решений, 11требований, 1представление и 5 протестов.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lastRenderedPageBreak/>
        <w:t>На заседаниях Думы были рассмотрены протесты Тындинского городского прокурора на нормативные правовые акты «О приостановлении действия отдельных положений Устава города Тынды», «О городском бюджете на 2019 год и плановый период 2020 и 2021 годов, «Об устранении нарушений законодательства о порядке рассмотрения обращений граждан»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,П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оложение «О порядке управления и распоряжения имуществом, находящимся в муниципальной собственности города Тынды»,«Регламент Тындинской городской Думы»,Положение «О гарантиях и компенсациях для лиц, работающих в органах местного самоуправления г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ынды, работников муниципальных учреждений города Тынды». По всем протестам и представлениям приняты решения Думы.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2019 году депутаты, как и в предыдущие годы, представляли сведения о своих доходах, расходах и обязательствах имущественного характера и о доходах, расходах и обязательствах имущественного характера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членов своей семьи. Декларационная кампания прошла успешно, всеми депутатами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были соблюдены установленные формы и сроки. Представленные сведения размещены на официальном сайте.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Предварительная работа по изучению проектов решений Думы проходила на заседаниях профильных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комиссий, в ходе проведения рабочего заседания Думы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с участием представителей Администрации города и специалистов аппарата Думы.</w:t>
      </w:r>
    </w:p>
    <w:p w:rsidR="004F3CC9" w:rsidRDefault="001E43C1" w:rsidP="004F3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Информация о количестве заседаний постоянных комиссий и рассмотренных вопросах представлена в таблице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3CC9" w:rsidRDefault="004F3CC9" w:rsidP="004F3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CC9" w:rsidRPr="004F3CC9" w:rsidRDefault="004F3CC9" w:rsidP="004F3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43C1" w:rsidRPr="001E43C1" w:rsidRDefault="001E43C1" w:rsidP="001E43C1">
      <w:pPr>
        <w:keepNext/>
        <w:keepLines/>
        <w:suppressAutoHyphens/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Таблица 4</w:t>
      </w:r>
    </w:p>
    <w:p w:rsidR="001E43C1" w:rsidRPr="001E43C1" w:rsidRDefault="001E43C1" w:rsidP="001E43C1">
      <w:pPr>
        <w:keepNext/>
        <w:keepLines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Информация о заседаниях постоянных комиссий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948"/>
        <w:gridCol w:w="1698"/>
        <w:gridCol w:w="1698"/>
      </w:tblGrid>
      <w:tr w:rsidR="001E43C1" w:rsidRPr="001E43C1" w:rsidTr="00F41E86">
        <w:trPr>
          <w:trHeight w:val="850"/>
        </w:trPr>
        <w:tc>
          <w:tcPr>
            <w:tcW w:w="594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комиссии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заседаний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вопросов</w:t>
            </w:r>
          </w:p>
        </w:tc>
      </w:tr>
      <w:tr w:rsidR="001E43C1" w:rsidRPr="001E43C1" w:rsidTr="00F41E86">
        <w:tc>
          <w:tcPr>
            <w:tcW w:w="5948" w:type="dxa"/>
          </w:tcPr>
          <w:p w:rsidR="001E43C1" w:rsidRPr="001E43C1" w:rsidRDefault="001E43C1" w:rsidP="001E43C1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 регламенту, депутатской этике и вопросам местного самоуправления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E43C1" w:rsidRPr="001E43C1" w:rsidTr="00F41E86">
        <w:tc>
          <w:tcPr>
            <w:tcW w:w="5948" w:type="dxa"/>
          </w:tcPr>
          <w:p w:rsidR="001E43C1" w:rsidRPr="001E43C1" w:rsidRDefault="001E43C1" w:rsidP="001E43C1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</w:t>
            </w:r>
            <w:r w:rsidR="004F3C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бюджетно-налоговой политике и финансовым ресурсам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E43C1" w:rsidRPr="001E43C1" w:rsidTr="00F41E86">
        <w:tc>
          <w:tcPr>
            <w:tcW w:w="5948" w:type="dxa"/>
          </w:tcPr>
          <w:p w:rsidR="001E43C1" w:rsidRPr="001E43C1" w:rsidRDefault="001E43C1" w:rsidP="001E43C1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 социальным вопросам и защите прав граждан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43C1" w:rsidRPr="001E43C1" w:rsidTr="00F41E86">
        <w:tc>
          <w:tcPr>
            <w:tcW w:w="5948" w:type="dxa"/>
          </w:tcPr>
          <w:p w:rsidR="001E43C1" w:rsidRPr="001E43C1" w:rsidRDefault="001E43C1" w:rsidP="001E43C1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 градостроительству,</w:t>
            </w:r>
            <w:r w:rsidR="004F3C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городскому хозяйству, жилищной политике и экологии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E43C1" w:rsidRPr="001E43C1" w:rsidTr="00F41E86">
        <w:tc>
          <w:tcPr>
            <w:tcW w:w="5948" w:type="dxa"/>
          </w:tcPr>
          <w:p w:rsidR="001E43C1" w:rsidRPr="001E43C1" w:rsidRDefault="001E43C1" w:rsidP="001E43C1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 экономической политике и муниципальной собственности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dxa"/>
            <w:vAlign w:val="center"/>
          </w:tcPr>
          <w:p w:rsidR="001E43C1" w:rsidRPr="001E43C1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4F3CC9" w:rsidRDefault="004F3CC9" w:rsidP="001E43C1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3CC9" w:rsidRDefault="004F3CC9" w:rsidP="001E43C1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43C1" w:rsidRPr="001E43C1" w:rsidRDefault="001E43C1" w:rsidP="001E43C1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2.Контрольная деятельность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соответствии с полномочиями, закрепленными Уставом города Тынды, в отчетном периоде была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продолжена работа по осуществлению контроля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исполнения органами местного самоуправления города Тынды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полномочий по решению вопросов местного значения.</w:t>
      </w:r>
    </w:p>
    <w:p w:rsidR="001E43C1" w:rsidRPr="001E43C1" w:rsidRDefault="001E43C1" w:rsidP="001E43C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Так, на заседаниях Думы рассмотрены отчет Мэра города Тынды о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результатах его деятельности, деятельности Администрации города Тынды и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иных подведомственных ему органов местного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самоуправления, в том числе о решении вопросов, поставленных Тындинской городской Думой,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отчет о деятельности Контрольно-счетной палаты города Тынды за 2018 год.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Исполняя контрольные полномочия,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Дума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приняла решения по вопросам: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«Об информации Администрации города Тынды по устранению нарушений, выявленных Контрольно-счетной палатой города Тынды в результате проверки отдельных вопросов финансовой и хозяйственной деятельности в 2017 году муниципального образовательного бюджетного учреждения дополнительного образования детей Детская музыкальная школа г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ынды»;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«Об информации Администрации города Тынды по устранению нарушений, выявленных Контрольно-счетной палатой города Тынды в результате проверки отдельных вопросов финансовой и хозяйственной деятельности в 2017 году муниципального автономного учреждения «Спортивная школа «Олимп» города Тынды Амурской области»;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«Об информации Администрации города Тынды по устранению нарушений, выявленных Контрольно-счетной палатой города Тынды в результате проверки отдельных вопросов финансовой и хозяйственной деятельности в 2016, 2017 годах МКУ «Дирекция транспорта и обслуживания Администрации г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ынды»;</w:t>
      </w:r>
    </w:p>
    <w:p w:rsidR="001E43C1" w:rsidRPr="001E43C1" w:rsidRDefault="001E43C1" w:rsidP="001E43C1">
      <w:pPr>
        <w:widowControl w:val="0"/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-«Об информации Администрации города Тынды об итогах работы жилищно-коммунального хозяйства города Тынды в осенне-зимний период 2018-2019 годов и задачах по подготовке к предстоящему отопительному периоду 2019-2020 годов».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2019 году Думой заслушивался отчет начальника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Межмуниципального отдела МВД России «Тындинский» о состоянии правопорядка на территории города Тынды.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Обеспечение внешнего муниципального контроля, контроля за целевым и эффективным использованием средств городского бюджета депутаты городской Думы осуществляли через деятельность Контрольно-счетной палаты города Тынды.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На заседаниях Думы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рассматривались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результаты проведенных Контрольно-счетной палатой города Тынды в 2019 году проверок отдельных вопросов финансовой и хозяйственной деятельности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учреждений: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lastRenderedPageBreak/>
        <w:t>- «Об информации Контрольно-счетной палаты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города Тынды о результатах проверки отдельных вопросов финансовой и хозяйственной деятельности в 2016, 2017 годах МКУ «Дирекция транспорта и обслуживания Администрации 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. Тынды;</w:t>
      </w:r>
    </w:p>
    <w:p w:rsidR="001E43C1" w:rsidRPr="001E43C1" w:rsidRDefault="001E43C1" w:rsidP="001E43C1">
      <w:pPr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«Об информации Контрольно-счетной палаты</w:t>
      </w:r>
      <w:r w:rsidR="004F3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города Тынды о результатах совместного контрольного мероприятия «Проверка финансово-хозяйственной деятельности муниципального унитарного предприятия муниципального образования 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. Тынды «Бюро технической инвентаризации» за период с 01.01.2018 по 31.12.2018 года».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На протяжении всего созыва депутаты участвуют в работе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межведомственных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комиссий: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по противодействию коррупции при Администрации города Тынды;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по профилактике правонарушений в сфере потребительских услуг;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по противодействию злоупотреблению наркотическими средствами и их незаконному обороту в городе Тынде;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в санитарно-противоэпидемической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комиссии;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по благоустройству и озеленению на территории города Тынды;</w:t>
      </w:r>
    </w:p>
    <w:p w:rsidR="001E43C1" w:rsidRPr="001E43C1" w:rsidRDefault="001E43C1" w:rsidP="001E43C1">
      <w:pPr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по комплектованию муниципальных дошкольных образовательных учреждений города Тынды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 других.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отчетном периоде продолжено делегирование депутатов в межведомственные комиссии. Так, были приняты решения: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делегировании депутатов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Тындинской городской Думы в состав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конкурсной комиссии для проведения открытого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конкурса по отбору управляющей организации для управления многоквартирным домом»;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делегировании депутата Тындинской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городской Думы в состав комиссии по муниципальным наградам города Тынды;</w:t>
      </w:r>
    </w:p>
    <w:p w:rsidR="001E43C1" w:rsidRPr="001E43C1" w:rsidRDefault="001E43C1" w:rsidP="001E43C1">
      <w:pPr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«О делегировании депутата Тындинской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городской Думы в состав суженного заседания Администрации города Тынды».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2019 году на контроль постоянных комиссий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поставлено 51 решения Думы (таблица 5).</w:t>
      </w:r>
    </w:p>
    <w:p w:rsidR="00E62DF1" w:rsidRDefault="00E62DF1" w:rsidP="001E4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43C1" w:rsidRPr="001E43C1" w:rsidRDefault="001E43C1" w:rsidP="001E4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Таблица 5</w:t>
      </w:r>
    </w:p>
    <w:p w:rsidR="001E43C1" w:rsidRPr="001E43C1" w:rsidRDefault="001E43C1" w:rsidP="001E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Контроль</w:t>
      </w:r>
      <w:r w:rsidR="00E62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исполнения решений Думы постоянными комиссиями</w:t>
      </w:r>
    </w:p>
    <w:tbl>
      <w:tblPr>
        <w:tblpPr w:leftFromText="180" w:rightFromText="180" w:vertAnchor="text" w:horzAnchor="margin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5"/>
        <w:gridCol w:w="2119"/>
      </w:tblGrid>
      <w:tr w:rsidR="001E43C1" w:rsidRPr="001E43C1" w:rsidTr="00F41E86">
        <w:trPr>
          <w:trHeight w:val="842"/>
        </w:trPr>
        <w:tc>
          <w:tcPr>
            <w:tcW w:w="7225" w:type="dxa"/>
            <w:tcMar>
              <w:left w:w="28" w:type="dxa"/>
              <w:right w:w="28" w:type="dxa"/>
            </w:tcMar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Постоянная комиссия Думы</w:t>
            </w:r>
          </w:p>
        </w:tc>
        <w:tc>
          <w:tcPr>
            <w:tcW w:w="2119" w:type="dxa"/>
            <w:tcMar>
              <w:left w:w="28" w:type="dxa"/>
              <w:right w:w="28" w:type="dxa"/>
            </w:tcMar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r w:rsidR="00E62D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решений, поставленных на контроль</w:t>
            </w:r>
          </w:p>
        </w:tc>
      </w:tr>
      <w:tr w:rsidR="001E43C1" w:rsidRPr="001E43C1" w:rsidTr="00F41E86">
        <w:tc>
          <w:tcPr>
            <w:tcW w:w="7225" w:type="dxa"/>
            <w:tcMar>
              <w:left w:w="28" w:type="dxa"/>
              <w:right w:w="28" w:type="dxa"/>
            </w:tcMar>
          </w:tcPr>
          <w:p w:rsidR="001E43C1" w:rsidRPr="001E43C1" w:rsidRDefault="001E43C1" w:rsidP="001E43C1">
            <w:pPr>
              <w:widowControl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 регламенту, депутатской этике и вопросам местного самоуправления</w:t>
            </w:r>
          </w:p>
        </w:tc>
        <w:tc>
          <w:tcPr>
            <w:tcW w:w="2119" w:type="dxa"/>
            <w:tcMar>
              <w:left w:w="28" w:type="dxa"/>
              <w:right w:w="28" w:type="dxa"/>
            </w:tcMar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1E43C1" w:rsidRPr="001E43C1" w:rsidTr="00F41E86">
        <w:tc>
          <w:tcPr>
            <w:tcW w:w="7225" w:type="dxa"/>
            <w:tcMar>
              <w:left w:w="28" w:type="dxa"/>
              <w:right w:w="28" w:type="dxa"/>
            </w:tcMar>
          </w:tcPr>
          <w:p w:rsidR="001E43C1" w:rsidRPr="001E43C1" w:rsidRDefault="001E43C1" w:rsidP="001E43C1">
            <w:pPr>
              <w:widowControl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</w:t>
            </w:r>
            <w:r w:rsidR="00E62D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бюджетно-налоговой политике и финансовым ресурсам</w:t>
            </w:r>
          </w:p>
        </w:tc>
        <w:tc>
          <w:tcPr>
            <w:tcW w:w="2119" w:type="dxa"/>
            <w:tcMar>
              <w:left w:w="28" w:type="dxa"/>
              <w:right w:w="28" w:type="dxa"/>
            </w:tcMar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1E43C1" w:rsidRPr="001E43C1" w:rsidTr="00F41E86">
        <w:tc>
          <w:tcPr>
            <w:tcW w:w="7225" w:type="dxa"/>
            <w:tcMar>
              <w:left w:w="28" w:type="dxa"/>
              <w:right w:w="28" w:type="dxa"/>
            </w:tcMar>
          </w:tcPr>
          <w:p w:rsidR="001E43C1" w:rsidRPr="001E43C1" w:rsidRDefault="001E43C1" w:rsidP="001E43C1">
            <w:pPr>
              <w:widowControl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Постоянная комиссия по социальным вопросам и защите </w:t>
            </w: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 граждан</w:t>
            </w:r>
          </w:p>
        </w:tc>
        <w:tc>
          <w:tcPr>
            <w:tcW w:w="2119" w:type="dxa"/>
            <w:tcMar>
              <w:left w:w="28" w:type="dxa"/>
              <w:right w:w="28" w:type="dxa"/>
            </w:tcMar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</w:tr>
      <w:tr w:rsidR="001E43C1" w:rsidRPr="001E43C1" w:rsidTr="00F41E86">
        <w:tc>
          <w:tcPr>
            <w:tcW w:w="7225" w:type="dxa"/>
            <w:tcMar>
              <w:left w:w="28" w:type="dxa"/>
              <w:right w:w="28" w:type="dxa"/>
            </w:tcMar>
          </w:tcPr>
          <w:p w:rsidR="001E43C1" w:rsidRPr="001E43C1" w:rsidRDefault="001E43C1" w:rsidP="001E43C1">
            <w:pPr>
              <w:widowControl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Постоянная комиссия по градостроительству,</w:t>
            </w:r>
            <w:r w:rsidR="00E62D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городскому хозяйству, жилищной политике и экологии</w:t>
            </w:r>
          </w:p>
        </w:tc>
        <w:tc>
          <w:tcPr>
            <w:tcW w:w="2119" w:type="dxa"/>
            <w:tcMar>
              <w:left w:w="28" w:type="dxa"/>
              <w:right w:w="28" w:type="dxa"/>
            </w:tcMar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E43C1" w:rsidRPr="001E43C1" w:rsidTr="00F41E86">
        <w:tc>
          <w:tcPr>
            <w:tcW w:w="7225" w:type="dxa"/>
            <w:tcMar>
              <w:left w:w="28" w:type="dxa"/>
              <w:right w:w="28" w:type="dxa"/>
            </w:tcMar>
          </w:tcPr>
          <w:p w:rsidR="001E43C1" w:rsidRPr="001E43C1" w:rsidRDefault="001E43C1" w:rsidP="001E43C1">
            <w:pPr>
              <w:widowControl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Постоянная комиссия по экономической политике и муниципальной собственности</w:t>
            </w:r>
          </w:p>
        </w:tc>
        <w:tc>
          <w:tcPr>
            <w:tcW w:w="2119" w:type="dxa"/>
            <w:tcMar>
              <w:left w:w="28" w:type="dxa"/>
              <w:right w:w="28" w:type="dxa"/>
            </w:tcMar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</w:tbl>
    <w:p w:rsidR="001E43C1" w:rsidRPr="001E43C1" w:rsidRDefault="001E43C1" w:rsidP="001E43C1">
      <w:pPr>
        <w:spacing w:before="36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3. Работа с избирателями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Как и в предыдущие годы,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работа с избирателями осуществлялась по нескольким направлениям: организация и проведение публичных слушаний,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прием граждан депутатами, работа с письменными и устными обращениями, встречи с трудовыми коллективами и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с избирателями в избирательных округах, участие депутатов в городских мероприятиях, освещение деятельности Думы в средствах массовой информации и на официальном сайте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Администрации города Тынды в сети «Интернет».</w:t>
      </w:r>
      <w:proofErr w:type="gramEnd"/>
    </w:p>
    <w:p w:rsidR="001E43C1" w:rsidRPr="001E43C1" w:rsidRDefault="001E43C1" w:rsidP="001E43C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В 2019 году 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проведены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публичные слушания по проекту нормативного правового акта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«О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внесении изменений в Устав города Тынды»;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публичные слушания</w:t>
      </w:r>
      <w:r w:rsidR="00E62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по проекту нормативного правового акта города Тынды «Об исполнении городского бюджета за 2018 год»;</w:t>
      </w:r>
    </w:p>
    <w:p w:rsidR="001E43C1" w:rsidRPr="001E43C1" w:rsidRDefault="001E43C1" w:rsidP="001E43C1">
      <w:pPr>
        <w:spacing w:after="6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публичные слушания по проекту нормативного правового акта города Тынды «О городском бюджете на 2020 год и плановый период 2021 и 2022 годов».</w:t>
      </w:r>
    </w:p>
    <w:p w:rsidR="001E43C1" w:rsidRPr="001E43C1" w:rsidRDefault="001E43C1" w:rsidP="001E43C1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отчетном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году в Думу поступило245 обращений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жителей города,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из которых: 4 – коллективных, 66 – по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исполнению городского бюджета за 2018 год, 154 – об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участии в публичных слушаниях «О городском бюджете на 2020 год и плановый период 2021 и 2022гг.».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обращений были направлены запросы в Администрацию города Тынды. Ответы на обращения граждан направлены в установленный законодательством срок.</w:t>
      </w:r>
    </w:p>
    <w:p w:rsidR="001E43C1" w:rsidRPr="001E43C1" w:rsidRDefault="001E43C1" w:rsidP="001E43C1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Наиболее актуальными для тындинцев, как и в предыдущие годы, остаются вопросы:</w:t>
      </w:r>
    </w:p>
    <w:p w:rsidR="001E43C1" w:rsidRPr="001E43C1" w:rsidRDefault="001E43C1" w:rsidP="001E43C1">
      <w:pPr>
        <w:widowControl w:val="0"/>
        <w:adjustRightInd w:val="0"/>
        <w:spacing w:after="0" w:line="240" w:lineRule="auto"/>
        <w:ind w:left="511" w:hanging="22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переселения из ветхого и аварийного жилья;</w:t>
      </w:r>
    </w:p>
    <w:p w:rsidR="001E43C1" w:rsidRPr="001E43C1" w:rsidRDefault="001E43C1" w:rsidP="001E43C1">
      <w:pPr>
        <w:widowControl w:val="0"/>
        <w:adjustRightInd w:val="0"/>
        <w:spacing w:after="0" w:line="240" w:lineRule="auto"/>
        <w:ind w:left="511" w:hanging="22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качества предоставления жилищно-коммунальных услуг;</w:t>
      </w:r>
    </w:p>
    <w:p w:rsidR="001E43C1" w:rsidRPr="001E43C1" w:rsidRDefault="001E43C1" w:rsidP="001E43C1">
      <w:pPr>
        <w:widowControl w:val="0"/>
        <w:adjustRightInd w:val="0"/>
        <w:spacing w:after="0" w:line="240" w:lineRule="auto"/>
        <w:ind w:left="511" w:hanging="22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-качество работы управляющих компаний;</w:t>
      </w:r>
    </w:p>
    <w:p w:rsidR="001E43C1" w:rsidRPr="001E43C1" w:rsidRDefault="001E43C1" w:rsidP="001E43C1">
      <w:pPr>
        <w:widowControl w:val="0"/>
        <w:adjustRightInd w:val="0"/>
        <w:spacing w:after="120" w:line="240" w:lineRule="auto"/>
        <w:ind w:left="511" w:hanging="22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деятельность Фонда капитального ремонта;</w:t>
      </w:r>
    </w:p>
    <w:p w:rsidR="001E43C1" w:rsidRPr="001E43C1" w:rsidRDefault="001E43C1" w:rsidP="001E43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Депутатами в течение 2019 года осуществлялся прием избирателей.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График приема, утвержденный решением Думы, опубликован в газет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е«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Авангард», размещен на официальном сайте Администрации города Тынды в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сети«Интернет» и на информационном стенде в помещении Думы.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В Думе велась предварительная запись граждан на прием к Председателю, оказывалась помощь гражданам, желающим записаться на прием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ко всем депутатам.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lastRenderedPageBreak/>
        <w:t>В 2019 году на приеме у Председателя Думы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были 104человека.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отчетном году продолжено развитие молодежного парламентского движения в городе Тынде.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В июне Решением Тындинской городской Думы было делегировано 3 кандидата в Молодежный парламент. В сентябре был избран Председатель, заместитель председателя и секретарь Молодежного парламента. Молодые парламентарии занимались разработкой Положения и Регламента Молодежного парламента, а также утвердили план работы и мероприятий, организуемых Молодежным парламентом начиная с </w:t>
      </w:r>
      <w:r w:rsidRPr="001E43C1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квартала 2019 года по </w:t>
      </w:r>
      <w:r w:rsidRPr="001E43C1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квартал 2020 года (включительно). Члены Молодежного парламента принимали активное участие в подготовке и проведении культурно-массовых и праздничных мероприятиях города Тынды.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2019 году было продолжено взаимодействие Думы с органами государственной власти, местного самоуправления, общественными объединениями. Депутаты принимали участие в рабочих встречах и совещаниях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с Губернатором Амурской области, с представителями регионального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Правительства и Законодательного Собрания Амурской области, Контрольного управления Президента Российской Федерации, аппарата полномочного представителя Президента Российской Федерации в Дальневосточном федеральном округе.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течение 2019 года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депутаты принимали участие в общегородских торжественных мероприятиях, митингах, собраниях, посвященных профессиональным праздникам и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знаменательным датам, в том числе празднованию 45-летия с начала строительства Байкало-Амурской магистрали, в массовых спортивных соревнованиях «Кросс нации» и «Лыжня России – 2019»,участвовали в общегородских субботниках по благоустройству дворов и улиц города.</w:t>
      </w:r>
    </w:p>
    <w:p w:rsidR="001E43C1" w:rsidRPr="001E43C1" w:rsidRDefault="001E43C1" w:rsidP="001E43C1">
      <w:pPr>
        <w:keepNext/>
        <w:suppressAutoHyphens/>
        <w:spacing w:before="36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4. Обеспечение деятельности Тындинской городской Думы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Проведению заседаний Думы и постоянных комиссий, публичных слушаний предшествовала подготовка необходимых материалов, готовился порядок ведения, список и оповещение приглашенных, раздаточный материал. Организационное, правовое, информационное, материально-техническое и иное обеспечение деятельности Думы осуществляет аппарат Думы (далее – аппарат).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состав аппарата входят сектора:</w:t>
      </w:r>
    </w:p>
    <w:p w:rsidR="001E43C1" w:rsidRPr="001E43C1" w:rsidRDefault="001E43C1" w:rsidP="001E43C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экспертно-правовой;</w:t>
      </w:r>
    </w:p>
    <w:p w:rsidR="001E43C1" w:rsidRPr="001E43C1" w:rsidRDefault="001E43C1" w:rsidP="001E43C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 организационной, хозяйственной и кадровой работы;</w:t>
      </w:r>
    </w:p>
    <w:p w:rsidR="001E43C1" w:rsidRPr="001E43C1" w:rsidRDefault="001E43C1" w:rsidP="001E43C1">
      <w:pPr>
        <w:widowControl w:val="0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-финансово-экономический.</w:t>
      </w:r>
    </w:p>
    <w:p w:rsidR="001E43C1" w:rsidRPr="001E43C1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В связи с временным не замещением должности руководителя экспертно-правового сектора аппарата Думы в 2019 году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правовая, в том числе антикоррупционная, лингвистическая и юридико-техническая экспертизы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проводилась руководителем аппарата Думы. Экспертизу прошли 150 проектов решений Думы, обеспечено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представление интересов Думы по 11судебным делам.</w:t>
      </w:r>
      <w:r w:rsidR="0005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Был обеспечен мониторинг законодательства и правоприменительной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практики, оказано содействие постоянным комиссиям и депутатам</w:t>
      </w:r>
      <w:r w:rsidR="00845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в нормотворческой деятельности.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Сектор</w:t>
      </w:r>
      <w:r w:rsidR="00845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организационной, хозяйственной и кадровой работы</w:t>
      </w:r>
      <w:r w:rsidR="00845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подготовил необходимое сопровождение 14 заседаний Думы,12заседанийпостоянных комиссий, 6публичных слушаний,</w:t>
      </w:r>
      <w:r w:rsidR="00845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всех протокольных и официальных мероприятий, ежедневно осуществлял прием и регистрацию документов.</w:t>
      </w:r>
    </w:p>
    <w:p w:rsidR="001E43C1" w:rsidRPr="001E43C1" w:rsidRDefault="001E43C1" w:rsidP="001E43C1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napToGrid w:val="0"/>
          <w:sz w:val="28"/>
          <w:szCs w:val="28"/>
        </w:rPr>
        <w:t>В отчетном году</w:t>
      </w:r>
      <w:r w:rsidR="00845E92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napToGrid w:val="0"/>
          <w:sz w:val="28"/>
          <w:szCs w:val="28"/>
        </w:rPr>
        <w:t>зарегистрировано 1207 документа: 688 входящих и 519 исходящих (таблица №6).</w:t>
      </w:r>
    </w:p>
    <w:p w:rsidR="001E43C1" w:rsidRPr="001E43C1" w:rsidRDefault="001E43C1" w:rsidP="00845E9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1E43C1" w:rsidRPr="001E43C1" w:rsidRDefault="001E43C1" w:rsidP="001E4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 6</w:t>
      </w:r>
    </w:p>
    <w:p w:rsidR="001E43C1" w:rsidRPr="001E43C1" w:rsidRDefault="001E43C1" w:rsidP="001E43C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</w:t>
      </w:r>
      <w:r w:rsidR="00845E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b/>
          <w:bCs/>
          <w:sz w:val="28"/>
          <w:szCs w:val="28"/>
        </w:rPr>
        <w:t>входящей корреспонденции</w:t>
      </w:r>
    </w:p>
    <w:tbl>
      <w:tblPr>
        <w:tblW w:w="9351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648"/>
        <w:gridCol w:w="6860"/>
        <w:gridCol w:w="1843"/>
      </w:tblGrid>
      <w:tr w:rsidR="001E43C1" w:rsidRPr="001E43C1" w:rsidTr="00F41E86">
        <w:trPr>
          <w:trHeight w:val="7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Входящая корреспонденция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1E43C1" w:rsidRPr="001E43C1" w:rsidTr="00F41E86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Законодательное</w:t>
            </w:r>
            <w:r w:rsidR="00845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Собрание Амурской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1E43C1" w:rsidRPr="001E43C1" w:rsidTr="00F41E86">
        <w:trPr>
          <w:trHeight w:val="28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Мэр и Администрация города Тынды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</w:tr>
      <w:tr w:rsidR="001E43C1" w:rsidRPr="001E43C1" w:rsidTr="00F41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Контрольно-счетная</w:t>
            </w:r>
            <w:r w:rsidR="00845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палата города Тынды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1E43C1" w:rsidRPr="001E43C1" w:rsidTr="00F41E86">
        <w:trPr>
          <w:trHeight w:val="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Предприятия, организации, учреждения города Тынды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</w:tr>
      <w:tr w:rsidR="001E43C1" w:rsidRPr="001E43C1" w:rsidTr="00F41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Жители города Тынды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</w:tr>
      <w:tr w:rsidR="001E43C1" w:rsidRPr="001E43C1" w:rsidTr="00F41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Тындинская городская</w:t>
            </w:r>
            <w:r w:rsidR="00845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прокуратура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1E43C1" w:rsidRPr="001E43C1" w:rsidTr="00F41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sz w:val="28"/>
                <w:szCs w:val="28"/>
              </w:rPr>
              <w:t>Иные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</w:tr>
      <w:tr w:rsidR="001E43C1" w:rsidRPr="001E43C1" w:rsidTr="00F41E86">
        <w:trPr>
          <w:trHeight w:val="4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C1" w:rsidRPr="001E43C1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E4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688</w:t>
            </w:r>
          </w:p>
        </w:tc>
      </w:tr>
    </w:tbl>
    <w:p w:rsidR="001E43C1" w:rsidRPr="001E43C1" w:rsidRDefault="001E43C1" w:rsidP="001E43C1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Аппаратом Думы подготовлено31распоряжение по основной деятельности,1 постановление Председателя Тындинской городской Думы, 112 распоряжений и по личному составу, подготовлены очередные материалы для передачи их в</w:t>
      </w:r>
      <w:r w:rsidR="00845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МБУ «Архив г. Тынды»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8"/>
        </w:rPr>
        <w:t>,п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8"/>
        </w:rPr>
        <w:t>роведена процедура оформления документов по назначению 2 помощников депутатов,</w:t>
      </w:r>
      <w:r w:rsidRPr="001E43C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оформлено 15Почетных грамот и 33 Благодарственных</w:t>
      </w:r>
      <w:r w:rsidR="00845E9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pacing w:val="-4"/>
          <w:sz w:val="28"/>
          <w:szCs w:val="28"/>
        </w:rPr>
        <w:t>писем,</w:t>
      </w:r>
      <w:r w:rsidR="00845E9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ведутся журнал и электронный реестр решений Думы. Для размещения</w:t>
      </w:r>
      <w:r w:rsidR="00845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в справочно-правовой системе «Консультант</w:t>
      </w:r>
      <w:r w:rsidR="00845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Плюс» направлено</w:t>
      </w:r>
      <w:r w:rsidRPr="001E43C1">
        <w:rPr>
          <w:rFonts w:ascii="Times New Roman" w:eastAsia="Times New Roman" w:hAnsi="Times New Roman" w:cs="Times New Roman"/>
          <w:spacing w:val="-4"/>
          <w:sz w:val="28"/>
          <w:szCs w:val="28"/>
        </w:rPr>
        <w:t>38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 и изменений к ним.</w:t>
      </w:r>
      <w:r w:rsidR="00845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8"/>
        </w:rPr>
        <w:t>Ко всем заседаниям Думы для каждого депутата формируется пакет документов, согласно проекту повестки.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t>По устным обращениям депутатов, для обеспечения их депутатских полномочий, специалистами аппарата производилась подготовка, ксерокопирование, отправка по электронной почте запрашиваемых документов из муниципальной правовой базы и нормативной базы областного законодательства, оказывалось содействие по оформлению проектов правовых актов, вносимых в Думу, и по оформлению протоколов заседаний постоянных комиссий.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Финансово-экономический сектор аппарата Думы осуществлял финансовое обеспечение деятельности Думы, ведение бухгалтерского учета, составление бюджетной отчетности. 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На 2019 год Тындинской городской Думе было доведено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плановых</w:t>
      </w:r>
      <w:r w:rsidR="00845E9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бюджетных ассигнований</w:t>
      </w:r>
      <w:proofErr w:type="gramStart"/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7</w:t>
      </w:r>
      <w:proofErr w:type="gramEnd"/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 009 132,99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что на 277 328,47 руб. (3,8 %) меньше чем в 2018 году.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Фактически исполнено</w:t>
      </w:r>
      <w:proofErr w:type="gramStart"/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6</w:t>
      </w:r>
      <w:proofErr w:type="gramEnd"/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 727 005,04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что составляет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95,97 % исполнения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состоянию на 31.12.2019 года в Тындинской городской Думе плановая штатная численность -  7,5 ставок, в т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4"/>
        </w:rPr>
        <w:t>.ч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депутаты, осуществляющие свои полномочия на постоянной (оплачиваемой) основе – 1 штатная единица;</w:t>
      </w:r>
    </w:p>
    <w:p w:rsidR="001E43C1" w:rsidRPr="001E43C1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аппарат Тындинской городской Думы – 5 штатных единиц;</w:t>
      </w:r>
    </w:p>
    <w:p w:rsidR="001E43C1" w:rsidRPr="001E43C1" w:rsidRDefault="001E43C1" w:rsidP="001E43C1">
      <w:pPr>
        <w:widowControl w:val="0"/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работники, осуществляющие хозяйственное обеспечение деятельности Тындинской городской Думы – 1,5 штатные единицы.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статье «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Заработная плата»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по плану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 утверждено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бюджетных ассигнований –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4 688 352,21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что на 272 587,39 руб. (5,8 %) меньше чем в 2018 году. Фактически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исполнено 4 688 352,21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 (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100 %)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статье «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Начисления на выплаты по оплате труда»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по плану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 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1 354 276,12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руб.,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исполнено 1 164 381,38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руб.(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86 %). 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По данной статье расходов процент исполнения не превысил минимального порога в 95%, что является не исполнением. Неисполнение обусловлено отсутствием финансирования на оплату начисленных страховых взносов за декабрь 2019 года и образовавшейся текущей кредиторской задолженности на 01.01.2020 год в сумме 185 746,03 руб. Срок исполнения по правовому основанию расходов по начислениям на выплаты по оплате труда 15.01.2020 года. Текущая кредиторская задолженность погашена в срок, уплата налогов произведена 15.01.2020 года.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статье «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Иные выплаты персоналу»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по плану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 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327 463,80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 что на 238 127,8 руб.(366,5 %) больше чем в 2018 году (в 2018 году – 89 336,00 руб.).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Исполнено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326 013,8 руб.(99,6 %), в том числе: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на оплату суточных, проезда, найма жилых помещений при служебных командировках – 153 585,60 руб., что на 66 105,60 руб. больше чем в 2018 год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4"/>
        </w:rPr>
        <w:t>у(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4"/>
        </w:rPr>
        <w:t>в 2018 году – 87 480,00 руб.);</w:t>
      </w:r>
    </w:p>
    <w:p w:rsidR="001E43C1" w:rsidRPr="001E43C1" w:rsidRDefault="001E43C1" w:rsidP="001E43C1">
      <w:pPr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- на выплату компенсационных расходов по оплате стоимости проезда и провоза багажа к месту использования отпуска и обратно – 170 310,20 руб. (в 2018 году – отсутствие таких расходов). 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Количество командировок в 2019 году составило 12 (в 2018 году - 10), суточных – 52 дня (в 2018 – 45 дней).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статье «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Услуги связи»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по плану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утверждено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бюджетных ассигнований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51 318,86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что на 5 538,86 руб.(10,8 %) больше чем в 2018 году.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Исполнено 44 762,12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руб.(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87,22 %).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данной статье производились расходы на оплату доступа к телефонной сети связи общего пользования (2 абонентских номера), предоставления доступа к услугам междугородной связи,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всего 21 816,02 руб., на услуги доступа к сети Интернет – 21 355,00 руб., на пересылку почтовых отправлений (заказных писем) – 1 591,10 руб. </w:t>
      </w:r>
    </w:p>
    <w:p w:rsidR="001E43C1" w:rsidRPr="001E43C1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статье «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Работы, услуги по содержанию имущества»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по плану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–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31 013,75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что на 119 059,44 руб.(383,9%) меньше чем в 2018 году.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Исполнено21 809,50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(70,3%).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По данной статье</w:t>
      </w:r>
      <w:r w:rsidR="00845E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производились расходы на оплату договоров за выполнение работ по профессии техника-программиста (обслуживание локальной вычислительной сети и компьютерного оборудования, ремонту и заправки картриджей)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4"/>
        </w:rPr>
        <w:t>,п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4"/>
        </w:rPr>
        <w:t>о годовому и предрейсовому ежедневному техническому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осмотру служебного автомобиля ГАЗ 3102, услуги по проведению диагностики жесткого диска, в связи с его выходом из строя.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статье «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Прочие работы, услуги»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плану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–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316 754,72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что на 21 065,52 руб. (6,65%) больше чем в 2018 году.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Исполнено 315 156,72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руб.(99,5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%).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По данной статье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производились расходы на оплату договоров 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4"/>
        </w:rPr>
        <w:t>по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обслуживанию справочно-правовой системы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«Консультант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Плюс»;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приобретению антивирусной программы Антивирус Касперского (продление на 2019 год);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обслуживанию программы «1С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4"/>
        </w:rPr>
        <w:t>:П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4"/>
        </w:rPr>
        <w:t>редприятие8.3» (конфигурация  БГУ ред.1.0 и Зарплата и Кадры ред.1.0);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приобретению пользовательских прав на информационно-технологическое сопровождение программного продукта «1С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4"/>
        </w:rPr>
        <w:t>:П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4"/>
        </w:rPr>
        <w:t>редприятие 8»;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приобретению права на предоставление доступа к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системе «Госфинансы»;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подписке периодических печатных изданий;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обслуживанию программы «Контур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Экстерн» (сдача отчетности в электронном виде в МИФНС, ПФР РФ, ФСС РФ, Росстат РФ);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восстановлению информации с жесткого диска;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ежегодному медицинскому осмотру муниципальных служащих, периодического медицинского осмотра водителя;</w:t>
      </w:r>
    </w:p>
    <w:p w:rsidR="001E43C1" w:rsidRPr="001E43C1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 ежедневному предрейсовому медицинскому осмотру водителя;</w:t>
      </w:r>
    </w:p>
    <w:p w:rsidR="001E43C1" w:rsidRPr="001E43C1" w:rsidRDefault="001E43C1" w:rsidP="001E43C1">
      <w:pPr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курсам повышения квалификации, дополнительного профессионального образования.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статье «С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трахование»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производились расходы по страхованию служебного автомобиля ГАЗ 3102 Волга.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плану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–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3 716,00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что на 149,82 руб. (4%) больше чем в 2018 году.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Исполнено 2 593,08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руб.( 69,8 %), что на 973,10 руб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4"/>
        </w:rPr>
        <w:t>.м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4"/>
        </w:rPr>
        <w:t>еньше чем в 2018 году (в 2018 г. – 3 566,18руб.).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статье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Н</w:t>
      </w:r>
      <w:proofErr w:type="gramEnd"/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алоги, пошлины и сборы»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по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плану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–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2 055,00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что на 978,00 руб. меньше чем в 2018 году.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Исполнено</w:t>
      </w:r>
      <w:proofErr w:type="gramStart"/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1</w:t>
      </w:r>
      <w:proofErr w:type="gramEnd"/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 541,25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руб.(75 %). По данной статье производились расходы на уплату транспортного налога. По сравнению с аналогичным периодом прошлого года, расходы уменьшились, в связи с отменой с 01 января 2019 года уплаты налога на движимое имущество. Процент исполнения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не превысил минимального порога в 95%, что является не исполнением. Неисполнение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lastRenderedPageBreak/>
        <w:t>обусловлено отсутствием финансирования на оплату начисленного транспортного налога за 4 квартал 2019 года и образовавшейся текущей кредиторской задолженности на 01.01.2020 год в сумме 513,75 руб. Срок исполнения по правовому основанию расходов 30 января 2020 года. Текущая кредиторская задолженность погашена в срок, уплата налога произведена 15 января 2020 года.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статье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«Увеличение стоимости основных средств»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плану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11 500,00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(в 2018 году – отсутствие таких расходов). Плановые назначения остались не исполненными, в связи с отсутствием финансирования по заявке на оплату расходов в декабре 2019 года на приобретение орг</w:t>
      </w:r>
      <w:proofErr w:type="gramStart"/>
      <w:r w:rsidRPr="001E43C1">
        <w:rPr>
          <w:rFonts w:ascii="Times New Roman" w:eastAsia="Times New Roman" w:hAnsi="Times New Roman" w:cs="Times New Roman"/>
          <w:sz w:val="28"/>
          <w:szCs w:val="24"/>
        </w:rPr>
        <w:t>.т</w:t>
      </w:r>
      <w:proofErr w:type="gramEnd"/>
      <w:r w:rsidRPr="001E43C1">
        <w:rPr>
          <w:rFonts w:ascii="Times New Roman" w:eastAsia="Times New Roman" w:hAnsi="Times New Roman" w:cs="Times New Roman"/>
          <w:sz w:val="28"/>
          <w:szCs w:val="24"/>
        </w:rPr>
        <w:t>ехники, планируемой для установки при организации рабочего места депутатам Тындинской городской Думы.</w:t>
      </w:r>
    </w:p>
    <w:p w:rsidR="001E43C1" w:rsidRPr="001E43C1" w:rsidRDefault="001E43C1" w:rsidP="001E43C1">
      <w:pPr>
        <w:spacing w:after="0" w:line="240" w:lineRule="auto"/>
        <w:ind w:left="-57" w:right="-57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статье</w:t>
      </w:r>
      <w:proofErr w:type="gramStart"/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«У</w:t>
      </w:r>
      <w:proofErr w:type="gramEnd"/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величение стоимости материальных запасов»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плану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182 682,53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что на 75 199,57 руб. меньше чем в 2018 году (в 2018 году – 257 882,10 руб.).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Исполнено 126 894,98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руб.(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69,5%)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. По данной статье расходов процент исполнения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не превысил минимального порога в 95%, что является не исполнением. Неисполнение обусловлено отсутствием финансирования по заявкам на оплату расходов в декабре 2019 года на приобретение комплектующих, расходных материалов к компьютерной технике, планируемой для установки при организации рабочего места депутатам Тындинской городской Думы, на оплату счета за приобретенный бензин для заправки служебного автомобиля за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декабрь 2019 г. 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По данной статье производилась оплата следующих расходов по приобретению:</w:t>
      </w:r>
    </w:p>
    <w:p w:rsidR="001E43C1" w:rsidRPr="001E43C1" w:rsidRDefault="001E43C1" w:rsidP="001E43C1">
      <w:pPr>
        <w:spacing w:after="0" w:line="240" w:lineRule="auto"/>
        <w:ind w:left="510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 бензина для заправки служебного автомобиля ГАЗ 3102 – 41 856,36 руб.;</w:t>
      </w:r>
    </w:p>
    <w:p w:rsidR="001E43C1" w:rsidRPr="001E43C1" w:rsidRDefault="001E43C1" w:rsidP="001E43C1">
      <w:pPr>
        <w:spacing w:after="0" w:line="240" w:lineRule="auto"/>
        <w:ind w:left="510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бензина при использовании автомобиля, принадлежащего на праве индивидуальной или общей собственности, служебного автомобиля,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при служебных командировках – 14 856,62 руб.;</w:t>
      </w:r>
    </w:p>
    <w:p w:rsidR="001E43C1" w:rsidRPr="001E43C1" w:rsidRDefault="001E43C1" w:rsidP="001E43C1">
      <w:pPr>
        <w:spacing w:after="0" w:line="240" w:lineRule="auto"/>
        <w:ind w:left="510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запасных частей к служебному автомобилю, масел, смазочных жидкостей – 8 314,00 руб.;</w:t>
      </w:r>
    </w:p>
    <w:p w:rsidR="001E43C1" w:rsidRPr="001E43C1" w:rsidRDefault="001E43C1" w:rsidP="001E43C1">
      <w:pPr>
        <w:spacing w:after="0" w:line="240" w:lineRule="auto"/>
        <w:ind w:left="510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канцелярских товаров, хозяйственных расходов, комплектующих, запасных, составных частей к средствам связи, компьютерной, офисной технике – 61 252,00 руб.;</w:t>
      </w:r>
    </w:p>
    <w:p w:rsidR="001E43C1" w:rsidRPr="001E43C1" w:rsidRDefault="001E43C1" w:rsidP="001E43C1">
      <w:pPr>
        <w:spacing w:after="120" w:line="240" w:lineRule="auto"/>
        <w:ind w:left="510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>- благодарственных писем – 616,00 руб.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статье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«Телевидение и радиовещание»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плану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30 000,00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(в 2018 году – отсутствие таких расходов).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 Исполнено30 000,00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руб.(100%). По данной статье производились расходы на оплату услуг по профессиональной видеосъемке, монтированию и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размещению информационного материала на канале «Телекомпания «ТЫНДА», связанного с освещением проводимых Тындинской городской Думой заседаний.</w:t>
      </w:r>
    </w:p>
    <w:p w:rsidR="001E43C1" w:rsidRPr="001E43C1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статье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«Периодическая печать и издательства»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по плану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утверждено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бюджетных ассигнований 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>10 000,00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руб., (в 2018 году – отсутствие таких расходов).</w:t>
      </w:r>
      <w:r w:rsidRPr="001E43C1">
        <w:rPr>
          <w:rFonts w:ascii="Times New Roman" w:eastAsia="Times New Roman" w:hAnsi="Times New Roman" w:cs="Times New Roman"/>
          <w:b/>
          <w:sz w:val="28"/>
          <w:szCs w:val="24"/>
        </w:rPr>
        <w:t xml:space="preserve"> Исполнено5 500,00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 xml:space="preserve"> руб. (55%). По данной статье расходов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lastRenderedPageBreak/>
        <w:t>процент исполнения</w:t>
      </w:r>
      <w:r w:rsidR="004B611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E43C1">
        <w:rPr>
          <w:rFonts w:ascii="Times New Roman" w:eastAsia="Times New Roman" w:hAnsi="Times New Roman" w:cs="Times New Roman"/>
          <w:sz w:val="28"/>
          <w:szCs w:val="24"/>
        </w:rPr>
        <w:t>не превысил минимального порога в 95%, что является не исполнением. Неисполнение обусловлено экономией бюджетных назначений планируемых на оплату услуг, предоставляемых печатными организациями для размещения информационных материалов в печатных изданиях.</w:t>
      </w:r>
    </w:p>
    <w:p w:rsidR="00F41E86" w:rsidRDefault="00F41E8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p w:rsidR="008127C6" w:rsidRDefault="008127C6"/>
    <w:sectPr w:rsidR="008127C6" w:rsidSect="005509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CF6" w:rsidRDefault="00E94CF6" w:rsidP="00E94CF6">
      <w:pPr>
        <w:spacing w:after="0" w:line="240" w:lineRule="auto"/>
      </w:pPr>
      <w:r>
        <w:separator/>
      </w:r>
    </w:p>
  </w:endnote>
  <w:endnote w:type="continuationSeparator" w:id="1">
    <w:p w:rsidR="00E94CF6" w:rsidRDefault="00E94CF6" w:rsidP="00E9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E86" w:rsidRDefault="00320C9B" w:rsidP="00F41E8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F41E8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41E86">
      <w:rPr>
        <w:rStyle w:val="ac"/>
        <w:noProof/>
      </w:rPr>
      <w:t>11</w:t>
    </w:r>
    <w:r>
      <w:rPr>
        <w:rStyle w:val="ac"/>
      </w:rPr>
      <w:fldChar w:fldCharType="end"/>
    </w:r>
  </w:p>
  <w:p w:rsidR="00F41E86" w:rsidRDefault="00F41E86" w:rsidP="00F41E86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E86" w:rsidRDefault="00F41E86" w:rsidP="00F41E86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CF6" w:rsidRDefault="00E94CF6" w:rsidP="00E94CF6">
      <w:pPr>
        <w:spacing w:after="0" w:line="240" w:lineRule="auto"/>
      </w:pPr>
      <w:r>
        <w:separator/>
      </w:r>
    </w:p>
  </w:footnote>
  <w:footnote w:type="continuationSeparator" w:id="1">
    <w:p w:rsidR="00E94CF6" w:rsidRDefault="00E94CF6" w:rsidP="00E9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E86" w:rsidRDefault="00320C9B" w:rsidP="00F41E86">
    <w:pPr>
      <w:pStyle w:val="af1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F41E8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41E86" w:rsidRDefault="00F41E86" w:rsidP="00F41E86">
    <w:pPr>
      <w:pStyle w:val="af1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77150"/>
      <w:docPartObj>
        <w:docPartGallery w:val="Page Numbers (Top of Page)"/>
        <w:docPartUnique/>
      </w:docPartObj>
    </w:sdtPr>
    <w:sdtContent>
      <w:p w:rsidR="00B96509" w:rsidRDefault="00320C9B">
        <w:pPr>
          <w:pStyle w:val="af1"/>
          <w:jc w:val="right"/>
        </w:pPr>
        <w:fldSimple w:instr=" PAGE   \* MERGEFORMAT ">
          <w:r w:rsidR="006E5F6B">
            <w:rPr>
              <w:noProof/>
            </w:rPr>
            <w:t>17</w:t>
          </w:r>
        </w:fldSimple>
      </w:p>
    </w:sdtContent>
  </w:sdt>
  <w:p w:rsidR="00F41E86" w:rsidRDefault="00F41E86" w:rsidP="00F41E86">
    <w:pPr>
      <w:pStyle w:val="af1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8E" w:rsidRDefault="0004278E" w:rsidP="00B96509">
    <w:pPr>
      <w:pStyle w:val="af1"/>
      <w:jc w:val="center"/>
    </w:pPr>
  </w:p>
  <w:p w:rsidR="0004278E" w:rsidRDefault="0004278E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AF057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394AF1"/>
    <w:multiLevelType w:val="hybridMultilevel"/>
    <w:tmpl w:val="A3E06348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2">
    <w:nsid w:val="07B42CEF"/>
    <w:multiLevelType w:val="hybridMultilevel"/>
    <w:tmpl w:val="7A3E4060"/>
    <w:lvl w:ilvl="0" w:tplc="04F2FE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7ADB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9404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507F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BA0F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88FD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CA01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4896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4E30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9D023DD"/>
    <w:multiLevelType w:val="hybridMultilevel"/>
    <w:tmpl w:val="186667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A5E7052"/>
    <w:multiLevelType w:val="hybridMultilevel"/>
    <w:tmpl w:val="ABD0C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FB2E60"/>
    <w:multiLevelType w:val="hybridMultilevel"/>
    <w:tmpl w:val="98382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540E23"/>
    <w:multiLevelType w:val="hybridMultilevel"/>
    <w:tmpl w:val="AC62B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7179CF"/>
    <w:multiLevelType w:val="hybridMultilevel"/>
    <w:tmpl w:val="BA526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9444CA"/>
    <w:multiLevelType w:val="hybridMultilevel"/>
    <w:tmpl w:val="53901A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317C3C"/>
    <w:multiLevelType w:val="hybridMultilevel"/>
    <w:tmpl w:val="A83ECA46"/>
    <w:lvl w:ilvl="0" w:tplc="70F623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22C87ED9"/>
    <w:multiLevelType w:val="hybridMultilevel"/>
    <w:tmpl w:val="920A0268"/>
    <w:lvl w:ilvl="0" w:tplc="4964E8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65358A"/>
    <w:multiLevelType w:val="hybridMultilevel"/>
    <w:tmpl w:val="5338EB90"/>
    <w:lvl w:ilvl="0" w:tplc="824055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61440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D4F1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48E0A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0634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3E7A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41E2D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B0AA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6CAF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8615EBF"/>
    <w:multiLevelType w:val="hybridMultilevel"/>
    <w:tmpl w:val="737A93E4"/>
    <w:lvl w:ilvl="0" w:tplc="AC166762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70"/>
        </w:tabs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90"/>
        </w:tabs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30"/>
        </w:tabs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50"/>
        </w:tabs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70"/>
        </w:tabs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90"/>
        </w:tabs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10"/>
        </w:tabs>
        <w:ind w:left="8010" w:hanging="180"/>
      </w:pPr>
    </w:lvl>
  </w:abstractNum>
  <w:abstractNum w:abstractNumId="13">
    <w:nsid w:val="2D8F0A6B"/>
    <w:multiLevelType w:val="hybridMultilevel"/>
    <w:tmpl w:val="9A5C4F90"/>
    <w:lvl w:ilvl="0" w:tplc="0419000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FC6258"/>
    <w:multiLevelType w:val="hybridMultilevel"/>
    <w:tmpl w:val="94B68D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B2111D"/>
    <w:multiLevelType w:val="hybridMultilevel"/>
    <w:tmpl w:val="4E8EF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0252DF"/>
    <w:multiLevelType w:val="hybridMultilevel"/>
    <w:tmpl w:val="9AFE69D0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7">
    <w:nsid w:val="39C158A5"/>
    <w:multiLevelType w:val="hybridMultilevel"/>
    <w:tmpl w:val="ED4C4312"/>
    <w:lvl w:ilvl="0" w:tplc="E74E552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1BD2E50"/>
    <w:multiLevelType w:val="hybridMultilevel"/>
    <w:tmpl w:val="2FC4B6D8"/>
    <w:lvl w:ilvl="0" w:tplc="1BDAED10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9">
    <w:nsid w:val="472E6AD3"/>
    <w:multiLevelType w:val="hybridMultilevel"/>
    <w:tmpl w:val="B9C2D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7592F81"/>
    <w:multiLevelType w:val="hybridMultilevel"/>
    <w:tmpl w:val="AA2A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092A33"/>
    <w:multiLevelType w:val="hybridMultilevel"/>
    <w:tmpl w:val="BCCC7B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BE1703"/>
    <w:multiLevelType w:val="hybridMultilevel"/>
    <w:tmpl w:val="E0C4803A"/>
    <w:lvl w:ilvl="0" w:tplc="6CB60248">
      <w:start w:val="1"/>
      <w:numFmt w:val="upp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3">
    <w:nsid w:val="727013A6"/>
    <w:multiLevelType w:val="hybridMultilevel"/>
    <w:tmpl w:val="DB8636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3E2D92"/>
    <w:multiLevelType w:val="hybridMultilevel"/>
    <w:tmpl w:val="41B2D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4E63A1"/>
    <w:multiLevelType w:val="hybridMultilevel"/>
    <w:tmpl w:val="39200F60"/>
    <w:lvl w:ilvl="0" w:tplc="F014BDF0">
      <w:start w:val="1"/>
      <w:numFmt w:val="decimal"/>
      <w:lvlText w:val="%1."/>
      <w:lvlJc w:val="left"/>
      <w:pPr>
        <w:tabs>
          <w:tab w:val="num" w:pos="3311"/>
        </w:tabs>
        <w:ind w:left="33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31"/>
        </w:tabs>
        <w:ind w:left="40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51"/>
        </w:tabs>
        <w:ind w:left="47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71"/>
        </w:tabs>
        <w:ind w:left="54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91"/>
        </w:tabs>
        <w:ind w:left="61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11"/>
        </w:tabs>
        <w:ind w:left="69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31"/>
        </w:tabs>
        <w:ind w:left="76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51"/>
        </w:tabs>
        <w:ind w:left="83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71"/>
        </w:tabs>
        <w:ind w:left="9071" w:hanging="180"/>
      </w:pPr>
    </w:lvl>
  </w:abstractNum>
  <w:abstractNum w:abstractNumId="26">
    <w:nsid w:val="7B7509B4"/>
    <w:multiLevelType w:val="hybridMultilevel"/>
    <w:tmpl w:val="030C5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582031"/>
    <w:multiLevelType w:val="hybridMultilevel"/>
    <w:tmpl w:val="4C90A1DC"/>
    <w:lvl w:ilvl="0" w:tplc="A3740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EC436A"/>
    <w:multiLevelType w:val="hybridMultilevel"/>
    <w:tmpl w:val="B58419A0"/>
    <w:lvl w:ilvl="0" w:tplc="6B5E74D6">
      <w:start w:val="3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7"/>
  </w:num>
  <w:num w:numId="2">
    <w:abstractNumId w:val="24"/>
  </w:num>
  <w:num w:numId="3">
    <w:abstractNumId w:val="5"/>
  </w:num>
  <w:num w:numId="4">
    <w:abstractNumId w:val="15"/>
  </w:num>
  <w:num w:numId="5">
    <w:abstractNumId w:val="19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25"/>
  </w:num>
  <w:num w:numId="11">
    <w:abstractNumId w:val="21"/>
  </w:num>
  <w:num w:numId="12">
    <w:abstractNumId w:val="6"/>
  </w:num>
  <w:num w:numId="13">
    <w:abstractNumId w:val="10"/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8"/>
  </w:num>
  <w:num w:numId="22">
    <w:abstractNumId w:val="17"/>
  </w:num>
  <w:num w:numId="23">
    <w:abstractNumId w:val="27"/>
  </w:num>
  <w:num w:numId="24">
    <w:abstractNumId w:val="9"/>
  </w:num>
  <w:num w:numId="25">
    <w:abstractNumId w:val="2"/>
  </w:num>
  <w:num w:numId="26">
    <w:abstractNumId w:val="11"/>
  </w:num>
  <w:num w:numId="27">
    <w:abstractNumId w:val="12"/>
  </w:num>
  <w:num w:numId="28">
    <w:abstractNumId w:val="28"/>
  </w:num>
  <w:num w:numId="29">
    <w:abstractNumId w:val="20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43C1"/>
    <w:rsid w:val="0004278E"/>
    <w:rsid w:val="000524AD"/>
    <w:rsid w:val="00066F1D"/>
    <w:rsid w:val="001E43C1"/>
    <w:rsid w:val="0023572B"/>
    <w:rsid w:val="00320C9B"/>
    <w:rsid w:val="004B611C"/>
    <w:rsid w:val="004F3CC9"/>
    <w:rsid w:val="00550955"/>
    <w:rsid w:val="006700FC"/>
    <w:rsid w:val="006E5F6B"/>
    <w:rsid w:val="008127C6"/>
    <w:rsid w:val="00845E92"/>
    <w:rsid w:val="00A002E8"/>
    <w:rsid w:val="00B96509"/>
    <w:rsid w:val="00BF448B"/>
    <w:rsid w:val="00C50CCD"/>
    <w:rsid w:val="00DC6299"/>
    <w:rsid w:val="00E62DF1"/>
    <w:rsid w:val="00E94CF6"/>
    <w:rsid w:val="00F4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4CF6"/>
  </w:style>
  <w:style w:type="paragraph" w:styleId="1">
    <w:name w:val="heading 1"/>
    <w:basedOn w:val="a0"/>
    <w:next w:val="a0"/>
    <w:link w:val="10"/>
    <w:qFormat/>
    <w:rsid w:val="001E43C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E43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E43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1E43C1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1E43C1"/>
  </w:style>
  <w:style w:type="table" w:styleId="a4">
    <w:name w:val="Table Grid"/>
    <w:basedOn w:val="a2"/>
    <w:rsid w:val="001E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"/>
    <w:basedOn w:val="a0"/>
    <w:rsid w:val="001E43C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">
    <w:name w:val="List Bullet"/>
    <w:basedOn w:val="a0"/>
    <w:rsid w:val="001E43C1"/>
    <w:pPr>
      <w:numPr>
        <w:numId w:val="9"/>
      </w:numPr>
      <w:spacing w:after="0" w:line="240" w:lineRule="auto"/>
    </w:pPr>
    <w:rPr>
      <w:rFonts w:ascii="13" w:eastAsia="Times New Roman" w:hAnsi="13" w:cs="Times New Roman"/>
      <w:sz w:val="26"/>
      <w:szCs w:val="26"/>
    </w:rPr>
  </w:style>
  <w:style w:type="paragraph" w:styleId="a6">
    <w:name w:val="Body Text"/>
    <w:basedOn w:val="a0"/>
    <w:link w:val="a7"/>
    <w:rsid w:val="001E43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Основной текст Знак"/>
    <w:basedOn w:val="a1"/>
    <w:link w:val="a6"/>
    <w:rsid w:val="001E43C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ody Text Indent"/>
    <w:basedOn w:val="a0"/>
    <w:link w:val="a9"/>
    <w:rsid w:val="001E43C1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9">
    <w:name w:val="Основной текст с отступом Знак"/>
    <w:basedOn w:val="a1"/>
    <w:link w:val="a8"/>
    <w:rsid w:val="001E43C1"/>
    <w:rPr>
      <w:rFonts w:ascii="Times New Roman" w:eastAsia="Times New Roman" w:hAnsi="Times New Roman" w:cs="Times New Roman"/>
      <w:sz w:val="26"/>
      <w:szCs w:val="20"/>
    </w:rPr>
  </w:style>
  <w:style w:type="paragraph" w:styleId="aa">
    <w:name w:val="footer"/>
    <w:basedOn w:val="a0"/>
    <w:link w:val="ab"/>
    <w:rsid w:val="001E43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1"/>
    <w:link w:val="aa"/>
    <w:rsid w:val="001E43C1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1"/>
    <w:rsid w:val="001E43C1"/>
  </w:style>
  <w:style w:type="paragraph" w:customStyle="1" w:styleId="ad">
    <w:name w:val="Знак"/>
    <w:basedOn w:val="a0"/>
    <w:rsid w:val="001E43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0"/>
    <w:rsid w:val="001E43C1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2">
    <w:name w:val="Обычный1"/>
    <w:basedOn w:val="a0"/>
    <w:rsid w:val="001E43C1"/>
    <w:pPr>
      <w:spacing w:after="90" w:line="240" w:lineRule="auto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styleId="ae">
    <w:name w:val="List Continue"/>
    <w:basedOn w:val="a0"/>
    <w:rsid w:val="001E43C1"/>
    <w:pPr>
      <w:spacing w:after="120" w:line="240" w:lineRule="auto"/>
      <w:ind w:left="283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f">
    <w:name w:val="caption"/>
    <w:basedOn w:val="a0"/>
    <w:next w:val="a0"/>
    <w:qFormat/>
    <w:rsid w:val="001E43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0">
    <w:name w:val="Знак Знак Знак Знак"/>
    <w:basedOn w:val="a0"/>
    <w:rsid w:val="001E43C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Стиль Заголовок 2 + полужирный без подчеркивания По левому краю"/>
    <w:basedOn w:val="2"/>
    <w:rsid w:val="001E43C1"/>
    <w:pPr>
      <w:spacing w:after="120"/>
    </w:pPr>
    <w:rPr>
      <w:rFonts w:ascii="Times New Roman" w:hAnsi="Times New Roman" w:cs="Times New Roman"/>
      <w:szCs w:val="20"/>
    </w:rPr>
  </w:style>
  <w:style w:type="paragraph" w:customStyle="1" w:styleId="22">
    <w:name w:val="Обычный2"/>
    <w:rsid w:val="001E43C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customStyle="1" w:styleId="ConsPlusNormal">
    <w:name w:val="ConsPlusNormal"/>
    <w:rsid w:val="001E43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header"/>
    <w:basedOn w:val="a0"/>
    <w:link w:val="af2"/>
    <w:uiPriority w:val="99"/>
    <w:rsid w:val="001E43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1"/>
    <w:link w:val="af1"/>
    <w:uiPriority w:val="99"/>
    <w:rsid w:val="001E43C1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1E43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2"/>
    <w:basedOn w:val="a0"/>
    <w:link w:val="24"/>
    <w:rsid w:val="001E43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E43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1E43C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Normal (Web)"/>
    <w:basedOn w:val="a0"/>
    <w:uiPriority w:val="99"/>
    <w:unhideWhenUsed/>
    <w:rsid w:val="001E4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0"/>
    <w:rsid w:val="001E43C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">
    <w:name w:val="Название1"/>
    <w:basedOn w:val="a0"/>
    <w:link w:val="af4"/>
    <w:qFormat/>
    <w:rsid w:val="001E43C1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styleId="af5">
    <w:name w:val="List Paragraph"/>
    <w:basedOn w:val="a0"/>
    <w:uiPriority w:val="34"/>
    <w:qFormat/>
    <w:rsid w:val="001E43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Hyperlink"/>
    <w:rsid w:val="001E43C1"/>
    <w:rPr>
      <w:color w:val="0000FF"/>
      <w:u w:val="single"/>
    </w:rPr>
  </w:style>
  <w:style w:type="character" w:styleId="af7">
    <w:name w:val="Strong"/>
    <w:uiPriority w:val="22"/>
    <w:qFormat/>
    <w:rsid w:val="001E43C1"/>
    <w:rPr>
      <w:b/>
      <w:bCs/>
    </w:rPr>
  </w:style>
  <w:style w:type="paragraph" w:styleId="25">
    <w:name w:val="Body Text Indent 2"/>
    <w:basedOn w:val="a0"/>
    <w:link w:val="26"/>
    <w:rsid w:val="001E43C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1E43C1"/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Всегда"/>
    <w:basedOn w:val="a0"/>
    <w:autoRedefine/>
    <w:rsid w:val="001E43C1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24"/>
      <w:sz w:val="36"/>
      <w:szCs w:val="36"/>
      <w:lang w:eastAsia="en-US"/>
    </w:rPr>
  </w:style>
  <w:style w:type="paragraph" w:styleId="3">
    <w:name w:val="Body Text Indent 3"/>
    <w:basedOn w:val="a0"/>
    <w:link w:val="30"/>
    <w:rsid w:val="001E43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1E43C1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1E43C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oSpacingChar">
    <w:name w:val="No Spacing Char"/>
    <w:link w:val="15"/>
    <w:locked/>
    <w:rsid w:val="001E43C1"/>
    <w:rPr>
      <w:sz w:val="24"/>
      <w:szCs w:val="24"/>
      <w:lang w:eastAsia="en-US"/>
    </w:rPr>
  </w:style>
  <w:style w:type="paragraph" w:customStyle="1" w:styleId="15">
    <w:name w:val="Без интервала1"/>
    <w:link w:val="NoSpacingChar"/>
    <w:rsid w:val="001E43C1"/>
    <w:pPr>
      <w:spacing w:after="0" w:line="240" w:lineRule="auto"/>
    </w:pPr>
    <w:rPr>
      <w:sz w:val="24"/>
      <w:szCs w:val="24"/>
      <w:lang w:eastAsia="en-US"/>
    </w:rPr>
  </w:style>
  <w:style w:type="paragraph" w:styleId="32">
    <w:name w:val="Body Text 3"/>
    <w:basedOn w:val="a0"/>
    <w:link w:val="33"/>
    <w:rsid w:val="001E43C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1E43C1"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1"/>
    <w:rsid w:val="001E43C1"/>
  </w:style>
  <w:style w:type="character" w:customStyle="1" w:styleId="FontStyle12">
    <w:name w:val="Font Style12"/>
    <w:rsid w:val="001E43C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af4">
    <w:name w:val="Название Знак"/>
    <w:link w:val="14"/>
    <w:rsid w:val="001E43C1"/>
    <w:rPr>
      <w:rFonts w:ascii="Times New Roman" w:eastAsia="Times New Roman" w:hAnsi="Times New Roman" w:cs="Times New Roman"/>
      <w:sz w:val="32"/>
      <w:szCs w:val="20"/>
    </w:rPr>
  </w:style>
  <w:style w:type="character" w:styleId="af9">
    <w:name w:val="FollowedHyperlink"/>
    <w:rsid w:val="001E43C1"/>
    <w:rPr>
      <w:color w:val="800080"/>
      <w:u w:val="single"/>
    </w:rPr>
  </w:style>
  <w:style w:type="paragraph" w:styleId="afa">
    <w:name w:val="Balloon Text"/>
    <w:basedOn w:val="a0"/>
    <w:link w:val="afb"/>
    <w:rsid w:val="001E43C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rsid w:val="001E43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Juristpc\&#1086;&#1073;&#1084;&#1077;&#1085;&#1085;&#1080;&#1082;\&#1056;&#1045;&#1064;&#1045;&#1053;&#1048;&#1071;%20&#1044;&#1091;&#1084;&#1099;\&#1056;&#1045;&#1064;&#1045;&#1053;&#1048;&#1071;%207%20&#1057;&#1054;&#1047;&#1067;&#1042;\184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5397</Words>
  <Characters>30765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5</cp:revision>
  <cp:lastPrinted>2020-12-16T07:54:00Z</cp:lastPrinted>
  <dcterms:created xsi:type="dcterms:W3CDTF">2020-12-16T06:44:00Z</dcterms:created>
  <dcterms:modified xsi:type="dcterms:W3CDTF">2020-12-19T03:37:00Z</dcterms:modified>
</cp:coreProperties>
</file>